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E2AB" w14:textId="4934C117" w:rsidR="008E6F56" w:rsidRPr="00306CCD" w:rsidRDefault="000D0239"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8"/>
        </w:rPr>
        <w:t>Proposal Instructions and Requirements</w:t>
      </w:r>
    </w:p>
    <w:p w14:paraId="22318235" w14:textId="77777777" w:rsidR="00306CCD" w:rsidRDefault="00306CCD"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p>
    <w:p w14:paraId="605CE030" w14:textId="77777777"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2"/>
        </w:rPr>
        <w:t>TO INTERESTED INDEPENDENT CERTIFIED PUBLIC ACCOUNTANTS (ICPAs):</w:t>
      </w:r>
    </w:p>
    <w:p w14:paraId="66118B15" w14:textId="77777777"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4A118D87"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Proposals should be organized and submitted in strict accordance with the format provided by the “Response to the Solicitation for Proposal.”  The legislative auditor reserves the right to refuse to consider proposals that are not submitted in this format or that are incomplete.</w:t>
      </w:r>
    </w:p>
    <w:p w14:paraId="1E6F5946"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30C0951E"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Proposals will be evaluated for both technical factors and cost factors.  The technical factors that will be considered in the selection process include the ICPA's experience in performing governmental</w:t>
      </w:r>
      <w:r w:rsidR="002913D5">
        <w:rPr>
          <w:rFonts w:ascii="Arial" w:hAnsi="Arial"/>
          <w:color w:val="000000"/>
          <w:sz w:val="22"/>
        </w:rPr>
        <w:t xml:space="preserve"> engagements</w:t>
      </w:r>
      <w:r>
        <w:rPr>
          <w:rFonts w:ascii="Arial" w:hAnsi="Arial"/>
          <w:color w:val="000000"/>
          <w:sz w:val="22"/>
        </w:rPr>
        <w:t xml:space="preserve">, qualifications of staff, and approach for planning and conducting the </w:t>
      </w:r>
      <w:r w:rsidR="002913D5">
        <w:rPr>
          <w:rFonts w:ascii="Arial" w:hAnsi="Arial"/>
          <w:color w:val="000000"/>
          <w:sz w:val="22"/>
        </w:rPr>
        <w:t>engagement</w:t>
      </w:r>
      <w:r>
        <w:rPr>
          <w:rFonts w:ascii="Arial" w:hAnsi="Arial"/>
          <w:color w:val="000000"/>
          <w:sz w:val="22"/>
        </w:rPr>
        <w:t>.</w:t>
      </w:r>
    </w:p>
    <w:p w14:paraId="67256CB3"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21C7EFD6" w14:textId="77777777" w:rsidR="008E6F56"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b/>
          <w:color w:val="000000"/>
          <w:sz w:val="22"/>
        </w:rPr>
        <w:t>General Information</w:t>
      </w:r>
    </w:p>
    <w:p w14:paraId="0E48B24C" w14:textId="07E06EF8"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Questions concerning </w:t>
      </w:r>
      <w:r w:rsidR="000D0239">
        <w:rPr>
          <w:rFonts w:ascii="Arial" w:hAnsi="Arial"/>
          <w:color w:val="000000"/>
          <w:sz w:val="22"/>
        </w:rPr>
        <w:t>any solicitation for proposals (</w:t>
      </w:r>
      <w:r w:rsidR="00832B15">
        <w:rPr>
          <w:rFonts w:ascii="Arial" w:hAnsi="Arial"/>
          <w:color w:val="000000"/>
          <w:sz w:val="22"/>
        </w:rPr>
        <w:t>SFP</w:t>
      </w:r>
      <w:r w:rsidR="000D0239">
        <w:rPr>
          <w:rFonts w:ascii="Arial" w:hAnsi="Arial"/>
          <w:color w:val="000000"/>
          <w:sz w:val="22"/>
        </w:rPr>
        <w:t>) posted on LLA’s state contracts webpage</w:t>
      </w:r>
      <w:r>
        <w:rPr>
          <w:rFonts w:ascii="Arial" w:hAnsi="Arial"/>
          <w:color w:val="000000"/>
          <w:sz w:val="22"/>
        </w:rPr>
        <w:t xml:space="preserve"> should be directed to</w:t>
      </w:r>
      <w:r w:rsidR="007452FE">
        <w:rPr>
          <w:rFonts w:ascii="Arial" w:hAnsi="Arial"/>
          <w:color w:val="000000"/>
          <w:sz w:val="22"/>
        </w:rPr>
        <w:t xml:space="preserve"> </w:t>
      </w:r>
      <w:hyperlink r:id="rId8" w:history="1">
        <w:r w:rsidR="007452FE" w:rsidRPr="00C371A1">
          <w:rPr>
            <w:rStyle w:val="Hyperlink"/>
            <w:rFonts w:ascii="Arial" w:hAnsi="Arial"/>
            <w:sz w:val="22"/>
          </w:rPr>
          <w:t>StateContracts@lla.la.gov</w:t>
        </w:r>
      </w:hyperlink>
      <w:r>
        <w:rPr>
          <w:rFonts w:ascii="Arial" w:hAnsi="Arial"/>
          <w:color w:val="000000"/>
          <w:sz w:val="22"/>
        </w:rPr>
        <w:t>.</w:t>
      </w:r>
    </w:p>
    <w:p w14:paraId="15ECC103" w14:textId="77777777" w:rsidR="000725B0" w:rsidRDefault="000725B0"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Proposers must be approved by the legislative auditor to perform </w:t>
      </w:r>
      <w:r w:rsidR="0037256C">
        <w:rPr>
          <w:rFonts w:ascii="Arial" w:hAnsi="Arial"/>
          <w:color w:val="000000"/>
          <w:sz w:val="22"/>
        </w:rPr>
        <w:t xml:space="preserve">governmental </w:t>
      </w:r>
      <w:r>
        <w:rPr>
          <w:rFonts w:ascii="Arial" w:hAnsi="Arial"/>
          <w:color w:val="000000"/>
          <w:sz w:val="22"/>
        </w:rPr>
        <w:t>engagements</w:t>
      </w:r>
      <w:r w:rsidR="00DB48E3">
        <w:rPr>
          <w:rFonts w:ascii="Arial" w:hAnsi="Arial"/>
          <w:color w:val="000000"/>
          <w:sz w:val="22"/>
        </w:rPr>
        <w:t>.  Proposers must also have their most recent peer review report published on the legislative auditor’s website.</w:t>
      </w:r>
    </w:p>
    <w:p w14:paraId="36B55ACB" w14:textId="4898646C" w:rsidR="00526461" w:rsidRDefault="00F72155"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A link to submit proposals is </w:t>
      </w:r>
      <w:r w:rsidR="00F871DA">
        <w:rPr>
          <w:rFonts w:ascii="Arial" w:hAnsi="Arial"/>
          <w:color w:val="000000"/>
          <w:sz w:val="22"/>
        </w:rPr>
        <w:t>adjacent</w:t>
      </w:r>
      <w:r>
        <w:rPr>
          <w:rFonts w:ascii="Arial" w:hAnsi="Arial"/>
          <w:color w:val="000000"/>
          <w:sz w:val="22"/>
        </w:rPr>
        <w:t xml:space="preserve"> to each Solicitation for Proposal (SFP)</w:t>
      </w:r>
      <w:r w:rsidR="003C65EB">
        <w:rPr>
          <w:rFonts w:ascii="Arial" w:hAnsi="Arial"/>
          <w:color w:val="000000"/>
          <w:sz w:val="22"/>
        </w:rPr>
        <w:t xml:space="preserve"> on the </w:t>
      </w:r>
      <w:hyperlink r:id="rId9" w:history="1">
        <w:r w:rsidR="0043132D" w:rsidRPr="0043132D">
          <w:rPr>
            <w:rStyle w:val="Hyperlink"/>
            <w:rFonts w:ascii="Arial" w:hAnsi="Arial"/>
            <w:sz w:val="22"/>
          </w:rPr>
          <w:t>C</w:t>
        </w:r>
        <w:r w:rsidR="003C65EB" w:rsidRPr="0043132D">
          <w:rPr>
            <w:rStyle w:val="Hyperlink"/>
            <w:rFonts w:ascii="Arial" w:hAnsi="Arial"/>
            <w:sz w:val="22"/>
          </w:rPr>
          <w:t xml:space="preserve">urrent </w:t>
        </w:r>
        <w:r w:rsidR="0043132D" w:rsidRPr="0043132D">
          <w:rPr>
            <w:rStyle w:val="Hyperlink"/>
            <w:rFonts w:ascii="Arial" w:hAnsi="Arial"/>
            <w:sz w:val="22"/>
          </w:rPr>
          <w:t>S</w:t>
        </w:r>
        <w:r w:rsidR="003C65EB" w:rsidRPr="0043132D">
          <w:rPr>
            <w:rStyle w:val="Hyperlink"/>
            <w:rFonts w:ascii="Arial" w:hAnsi="Arial"/>
            <w:sz w:val="22"/>
          </w:rPr>
          <w:t>olicitations</w:t>
        </w:r>
      </w:hyperlink>
      <w:r w:rsidR="003C65EB">
        <w:rPr>
          <w:rFonts w:ascii="Arial" w:hAnsi="Arial"/>
          <w:color w:val="000000"/>
          <w:sz w:val="22"/>
        </w:rPr>
        <w:t xml:space="preserve"> web page</w:t>
      </w:r>
      <w:r>
        <w:rPr>
          <w:rFonts w:ascii="Arial" w:hAnsi="Arial"/>
          <w:color w:val="000000"/>
          <w:sz w:val="22"/>
        </w:rPr>
        <w:t xml:space="preserve">.  </w:t>
      </w:r>
      <w:r w:rsidR="003C65EB">
        <w:rPr>
          <w:rFonts w:ascii="Arial" w:hAnsi="Arial"/>
          <w:color w:val="000000"/>
          <w:sz w:val="22"/>
        </w:rPr>
        <w:t xml:space="preserve">The proposal and pricing information must be submitted electronically in </w:t>
      </w:r>
      <w:r w:rsidR="00B04DBB">
        <w:rPr>
          <w:rFonts w:ascii="Arial" w:hAnsi="Arial"/>
          <w:color w:val="000000"/>
          <w:sz w:val="22"/>
        </w:rPr>
        <w:t>two separate PDF files</w:t>
      </w:r>
      <w:r w:rsidR="003C65EB">
        <w:rPr>
          <w:rFonts w:ascii="Arial" w:hAnsi="Arial"/>
          <w:color w:val="000000"/>
          <w:sz w:val="22"/>
        </w:rPr>
        <w:t xml:space="preserve">. </w:t>
      </w:r>
      <w:r w:rsidR="00B04DBB">
        <w:rPr>
          <w:rFonts w:ascii="Arial" w:hAnsi="Arial"/>
          <w:color w:val="000000"/>
          <w:sz w:val="22"/>
        </w:rPr>
        <w:t xml:space="preserve"> </w:t>
      </w:r>
      <w:r w:rsidR="003C65EB">
        <w:rPr>
          <w:rFonts w:ascii="Arial" w:hAnsi="Arial"/>
          <w:color w:val="000000"/>
          <w:sz w:val="22"/>
        </w:rPr>
        <w:t xml:space="preserve"> </w:t>
      </w:r>
    </w:p>
    <w:p w14:paraId="6668FB41" w14:textId="77777777"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The pricing information should conform to the format specified in the “</w:t>
      </w:r>
      <w:bookmarkStart w:id="0" w:name="_GoBack"/>
      <w:r>
        <w:rPr>
          <w:rFonts w:ascii="Arial" w:hAnsi="Arial"/>
          <w:color w:val="000000"/>
          <w:sz w:val="22"/>
        </w:rPr>
        <w:t>Response to the Solicitation for Proposal</w:t>
      </w:r>
      <w:bookmarkEnd w:id="0"/>
      <w:r>
        <w:rPr>
          <w:rFonts w:ascii="Arial" w:hAnsi="Arial"/>
          <w:color w:val="000000"/>
          <w:sz w:val="22"/>
        </w:rPr>
        <w:t xml:space="preserve">.”  Failure to present the pricing information in this format will result in the disqualification of a proposer.  </w:t>
      </w:r>
      <w:r w:rsidR="00B04DBB">
        <w:rPr>
          <w:rFonts w:ascii="Arial" w:hAnsi="Arial"/>
          <w:color w:val="000000"/>
          <w:sz w:val="22"/>
        </w:rPr>
        <w:t xml:space="preserve">As noted in previous bullet, the pricing information must be submitted electronically in a separate PDF from the proposal.  </w:t>
      </w:r>
      <w:r>
        <w:rPr>
          <w:rFonts w:ascii="Arial" w:hAnsi="Arial"/>
          <w:b/>
          <w:color w:val="000000"/>
          <w:sz w:val="22"/>
        </w:rPr>
        <w:t>Any proposal that includes the pricing information in the body of the proposal will be rejected.</w:t>
      </w:r>
    </w:p>
    <w:p w14:paraId="647BE0D3" w14:textId="77777777"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Proposers may propose on as many state agency </w:t>
      </w:r>
      <w:r w:rsidR="002913D5">
        <w:rPr>
          <w:rFonts w:ascii="Arial" w:hAnsi="Arial"/>
          <w:color w:val="000000"/>
          <w:sz w:val="22"/>
        </w:rPr>
        <w:t>engagements</w:t>
      </w:r>
      <w:r>
        <w:rPr>
          <w:rFonts w:ascii="Arial" w:hAnsi="Arial"/>
          <w:color w:val="000000"/>
          <w:sz w:val="22"/>
        </w:rPr>
        <w:t xml:space="preserve"> as desired.  However, for every state agency to be proposed on, the proposer must complete a separate proposal.  </w:t>
      </w:r>
    </w:p>
    <w:p w14:paraId="7F6CF449" w14:textId="7776B6A0"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Under the provisions of R.S. 24:517.3, the successful proposer will enter into an engagement contract with the legislative auditor.  Upon the ICPA's completion of the </w:t>
      </w:r>
      <w:r w:rsidR="002913D5">
        <w:rPr>
          <w:rFonts w:ascii="Arial" w:hAnsi="Arial"/>
          <w:color w:val="000000"/>
          <w:sz w:val="22"/>
        </w:rPr>
        <w:t>engagement</w:t>
      </w:r>
      <w:r>
        <w:rPr>
          <w:rFonts w:ascii="Arial" w:hAnsi="Arial"/>
          <w:color w:val="000000"/>
          <w:sz w:val="22"/>
        </w:rPr>
        <w:t xml:space="preserve"> and submission of the invoice </w:t>
      </w:r>
      <w:r w:rsidR="000B72AF">
        <w:rPr>
          <w:rFonts w:ascii="Arial" w:hAnsi="Arial"/>
          <w:color w:val="000000"/>
          <w:sz w:val="22"/>
        </w:rPr>
        <w:t xml:space="preserve">not to exceed the maximum fee provided in the contract </w:t>
      </w:r>
      <w:r>
        <w:rPr>
          <w:rFonts w:ascii="Arial" w:hAnsi="Arial"/>
          <w:color w:val="000000"/>
          <w:sz w:val="22"/>
        </w:rPr>
        <w:t xml:space="preserve">to </w:t>
      </w:r>
      <w:r w:rsidR="00154D76">
        <w:rPr>
          <w:rFonts w:ascii="Arial" w:hAnsi="Arial"/>
          <w:color w:val="000000"/>
          <w:sz w:val="22"/>
        </w:rPr>
        <w:t xml:space="preserve">the </w:t>
      </w:r>
      <w:r>
        <w:rPr>
          <w:rFonts w:ascii="Arial" w:hAnsi="Arial"/>
          <w:color w:val="000000"/>
          <w:sz w:val="22"/>
        </w:rPr>
        <w:t xml:space="preserve">state agency, the state agency will issue a check made payable </w:t>
      </w:r>
      <w:r w:rsidR="00154D76">
        <w:rPr>
          <w:rFonts w:ascii="Arial" w:hAnsi="Arial"/>
          <w:color w:val="000000"/>
          <w:sz w:val="22"/>
        </w:rPr>
        <w:t xml:space="preserve">solely </w:t>
      </w:r>
      <w:r>
        <w:rPr>
          <w:rFonts w:ascii="Arial" w:hAnsi="Arial"/>
          <w:color w:val="000000"/>
          <w:sz w:val="22"/>
        </w:rPr>
        <w:t xml:space="preserve">to the </w:t>
      </w:r>
      <w:r w:rsidR="000B72AF">
        <w:rPr>
          <w:rFonts w:ascii="Arial" w:hAnsi="Arial"/>
          <w:color w:val="000000"/>
          <w:sz w:val="22"/>
        </w:rPr>
        <w:t>ICPA</w:t>
      </w:r>
      <w:r w:rsidR="008D1E14">
        <w:rPr>
          <w:rFonts w:ascii="Arial" w:hAnsi="Arial"/>
          <w:color w:val="000000"/>
          <w:sz w:val="22"/>
        </w:rPr>
        <w:t xml:space="preserve">.  </w:t>
      </w:r>
    </w:p>
    <w:p w14:paraId="11E49B78" w14:textId="77777777"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legislative auditor reserves the right to reject any and all </w:t>
      </w:r>
      <w:r w:rsidR="00732EC9">
        <w:rPr>
          <w:rFonts w:ascii="Arial" w:hAnsi="Arial"/>
          <w:color w:val="000000"/>
          <w:sz w:val="22"/>
        </w:rPr>
        <w:t xml:space="preserve">submitted </w:t>
      </w:r>
      <w:r>
        <w:rPr>
          <w:rFonts w:ascii="Arial" w:hAnsi="Arial"/>
          <w:color w:val="000000"/>
          <w:sz w:val="22"/>
        </w:rPr>
        <w:t>proposals and to request additional information from any and all proposers.</w:t>
      </w:r>
    </w:p>
    <w:p w14:paraId="0A2D0351" w14:textId="77777777"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w:t>
      </w:r>
      <w:r w:rsidR="00CF0EDA">
        <w:rPr>
          <w:rFonts w:ascii="Arial" w:hAnsi="Arial"/>
          <w:color w:val="000000"/>
          <w:sz w:val="22"/>
        </w:rPr>
        <w:t xml:space="preserve">name of the </w:t>
      </w:r>
      <w:r w:rsidR="002913D5">
        <w:rPr>
          <w:rFonts w:ascii="Arial" w:hAnsi="Arial"/>
          <w:color w:val="000000"/>
          <w:sz w:val="22"/>
        </w:rPr>
        <w:t>successful proposer and pricing information</w:t>
      </w:r>
      <w:r>
        <w:rPr>
          <w:rFonts w:ascii="Arial" w:hAnsi="Arial"/>
          <w:color w:val="000000"/>
          <w:sz w:val="22"/>
        </w:rPr>
        <w:t xml:space="preserve"> will be posted on </w:t>
      </w:r>
      <w:r w:rsidR="00DB48E3">
        <w:rPr>
          <w:rFonts w:ascii="Arial" w:hAnsi="Arial"/>
          <w:color w:val="000000"/>
          <w:sz w:val="22"/>
        </w:rPr>
        <w:t>the legislative auditor’s</w:t>
      </w:r>
      <w:r>
        <w:rPr>
          <w:rFonts w:ascii="Arial" w:hAnsi="Arial"/>
          <w:color w:val="000000"/>
          <w:sz w:val="22"/>
        </w:rPr>
        <w:t xml:space="preserve"> website.</w:t>
      </w:r>
    </w:p>
    <w:p w14:paraId="7BE50128" w14:textId="77777777" w:rsidR="008E6F56" w:rsidRDefault="008E6F56">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Submitted proposals become part of the legislative auditor's official files.</w:t>
      </w:r>
    </w:p>
    <w:p w14:paraId="57403038" w14:textId="77777777" w:rsidR="00306CCD" w:rsidRDefault="00306CCD">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p>
    <w:p w14:paraId="5486BD18" w14:textId="77777777" w:rsidR="008E6F56" w:rsidRPr="003F0B6E"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2"/>
        </w:rPr>
        <w:t xml:space="preserve">Scope of </w:t>
      </w:r>
      <w:r w:rsidR="002913D5">
        <w:rPr>
          <w:rFonts w:ascii="Arial" w:hAnsi="Arial"/>
          <w:b/>
          <w:color w:val="000000"/>
          <w:sz w:val="22"/>
        </w:rPr>
        <w:t>Engagement</w:t>
      </w:r>
    </w:p>
    <w:p w14:paraId="50111902"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w:t>
      </w:r>
      <w:r w:rsidR="002913D5">
        <w:rPr>
          <w:rFonts w:ascii="Arial" w:hAnsi="Arial"/>
          <w:color w:val="000000"/>
          <w:sz w:val="22"/>
        </w:rPr>
        <w:t>engagement</w:t>
      </w:r>
      <w:r>
        <w:rPr>
          <w:rFonts w:ascii="Arial" w:hAnsi="Arial"/>
          <w:color w:val="000000"/>
          <w:sz w:val="22"/>
        </w:rPr>
        <w:t xml:space="preserve"> will encompass all funds under the control of the state agency.  There will be no limitations on the scope of the </w:t>
      </w:r>
      <w:r w:rsidR="002913D5">
        <w:rPr>
          <w:rFonts w:ascii="Arial" w:hAnsi="Arial"/>
          <w:color w:val="000000"/>
          <w:sz w:val="22"/>
        </w:rPr>
        <w:t>engagement</w:t>
      </w:r>
      <w:r>
        <w:rPr>
          <w:rFonts w:ascii="Arial" w:hAnsi="Arial"/>
          <w:color w:val="000000"/>
          <w:sz w:val="22"/>
        </w:rPr>
        <w:t>.</w:t>
      </w:r>
    </w:p>
    <w:p w14:paraId="09F2B2DF" w14:textId="77777777" w:rsidR="00E278D6" w:rsidRDefault="00E278D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3EC4D680" w14:textId="77777777" w:rsidR="008E6F56" w:rsidRPr="003F0B6E"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2"/>
        </w:rPr>
        <w:t>Contract Period</w:t>
      </w:r>
    </w:p>
    <w:p w14:paraId="2065BCE6"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For each agency </w:t>
      </w:r>
      <w:r w:rsidR="008D1E14">
        <w:rPr>
          <w:rFonts w:ascii="Arial" w:hAnsi="Arial"/>
          <w:color w:val="000000"/>
          <w:sz w:val="22"/>
        </w:rPr>
        <w:t xml:space="preserve">for which the legislative auditor is </w:t>
      </w:r>
      <w:r>
        <w:rPr>
          <w:rFonts w:ascii="Arial" w:hAnsi="Arial"/>
          <w:color w:val="000000"/>
          <w:sz w:val="22"/>
        </w:rPr>
        <w:t xml:space="preserve">soliciting proposals, an engagement contract will be awarded for a specified contract period, which may include multi-year </w:t>
      </w:r>
      <w:r w:rsidR="002913D5">
        <w:rPr>
          <w:rFonts w:ascii="Arial" w:hAnsi="Arial"/>
          <w:color w:val="000000"/>
          <w:sz w:val="22"/>
        </w:rPr>
        <w:t>engagements</w:t>
      </w:r>
      <w:r>
        <w:rPr>
          <w:rFonts w:ascii="Arial" w:hAnsi="Arial"/>
          <w:color w:val="000000"/>
          <w:sz w:val="22"/>
        </w:rPr>
        <w:t xml:space="preserve">.  The contract periods and </w:t>
      </w:r>
      <w:r w:rsidR="002913D5">
        <w:rPr>
          <w:rFonts w:ascii="Arial" w:hAnsi="Arial"/>
          <w:color w:val="000000"/>
          <w:sz w:val="22"/>
        </w:rPr>
        <w:t>engagement</w:t>
      </w:r>
      <w:r>
        <w:rPr>
          <w:rFonts w:ascii="Arial" w:hAnsi="Arial"/>
          <w:color w:val="000000"/>
          <w:sz w:val="22"/>
        </w:rPr>
        <w:t xml:space="preserve"> periods are included in the agency specific information</w:t>
      </w:r>
      <w:r w:rsidR="008D1E14">
        <w:rPr>
          <w:rFonts w:ascii="Arial" w:hAnsi="Arial"/>
          <w:color w:val="000000"/>
          <w:sz w:val="22"/>
        </w:rPr>
        <w:t xml:space="preserve"> sheet posted </w:t>
      </w:r>
      <w:r w:rsidR="00B95169">
        <w:rPr>
          <w:rFonts w:ascii="Arial" w:hAnsi="Arial"/>
          <w:color w:val="000000"/>
          <w:sz w:val="22"/>
        </w:rPr>
        <w:t>on the legislative auditor’s current solicitations webpage</w:t>
      </w:r>
      <w:r>
        <w:rPr>
          <w:rFonts w:ascii="Arial" w:hAnsi="Arial"/>
          <w:color w:val="000000"/>
          <w:sz w:val="22"/>
        </w:rPr>
        <w:t>.</w:t>
      </w:r>
    </w:p>
    <w:p w14:paraId="7A0C9992"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1ED60DDE" w14:textId="77777777" w:rsidR="00577AAD" w:rsidRDefault="00577AAD"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p>
    <w:p w14:paraId="506C63F5" w14:textId="53CA9C2B" w:rsidR="008E6F56" w:rsidRPr="003F0B6E"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2"/>
        </w:rPr>
        <w:t>Nature of Services Required</w:t>
      </w:r>
      <w:r w:rsidR="00987F38">
        <w:rPr>
          <w:rFonts w:ascii="Arial" w:hAnsi="Arial"/>
          <w:b/>
          <w:color w:val="000000"/>
          <w:sz w:val="22"/>
        </w:rPr>
        <w:t xml:space="preserve"> – A</w:t>
      </w:r>
      <w:r w:rsidR="0058163D">
        <w:rPr>
          <w:rFonts w:ascii="Arial" w:hAnsi="Arial"/>
          <w:b/>
          <w:color w:val="000000"/>
          <w:sz w:val="22"/>
        </w:rPr>
        <w:t>udits</w:t>
      </w:r>
    </w:p>
    <w:p w14:paraId="694399D3" w14:textId="77777777"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The audit must be a financial audit performed in accordance with:</w:t>
      </w:r>
    </w:p>
    <w:p w14:paraId="61711C1A" w14:textId="77777777" w:rsidR="008E6F56" w:rsidRDefault="008E6F56" w:rsidP="003F0B6E">
      <w:pPr>
        <w:numPr>
          <w:ilvl w:val="0"/>
          <w:numId w:val="18"/>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olor w:val="000000"/>
          <w:sz w:val="22"/>
        </w:rPr>
      </w:pPr>
      <w:r>
        <w:rPr>
          <w:rFonts w:ascii="Arial" w:hAnsi="Arial"/>
          <w:color w:val="000000"/>
          <w:sz w:val="22"/>
        </w:rPr>
        <w:t>Generally accepted auditing standards, promulgated by the Auditing Standards Board of the American Institute of Certified Public Accountants.</w:t>
      </w:r>
    </w:p>
    <w:p w14:paraId="4B4FF33A" w14:textId="77777777" w:rsidR="008E6F56" w:rsidRDefault="008E6F56" w:rsidP="003F0B6E">
      <w:pPr>
        <w:numPr>
          <w:ilvl w:val="0"/>
          <w:numId w:val="18"/>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olor w:val="000000"/>
          <w:sz w:val="22"/>
        </w:rPr>
      </w:pPr>
      <w:r>
        <w:rPr>
          <w:rFonts w:ascii="Arial" w:hAnsi="Arial"/>
          <w:color w:val="000000"/>
          <w:sz w:val="22"/>
        </w:rPr>
        <w:t xml:space="preserve">The standards contained in </w:t>
      </w:r>
      <w:r>
        <w:rPr>
          <w:rFonts w:ascii="Arial" w:hAnsi="Arial"/>
          <w:i/>
          <w:color w:val="000000"/>
          <w:sz w:val="22"/>
        </w:rPr>
        <w:t>Government Auditing Standards</w:t>
      </w:r>
      <w:r>
        <w:rPr>
          <w:rFonts w:ascii="Arial" w:hAnsi="Arial"/>
          <w:color w:val="000000"/>
          <w:sz w:val="22"/>
        </w:rPr>
        <w:t xml:space="preserve">, issued by the Comptroller General of the </w:t>
      </w:r>
      <w:smartTag w:uri="urn:schemas-microsoft-com:office:smarttags" w:element="country-region">
        <w:smartTag w:uri="urn:schemas-microsoft-com:office:smarttags" w:element="place">
          <w:r>
            <w:rPr>
              <w:rFonts w:ascii="Arial" w:hAnsi="Arial"/>
              <w:color w:val="000000"/>
              <w:sz w:val="22"/>
            </w:rPr>
            <w:t>United States</w:t>
          </w:r>
        </w:smartTag>
      </w:smartTag>
      <w:r>
        <w:rPr>
          <w:rFonts w:ascii="Arial" w:hAnsi="Arial"/>
          <w:color w:val="000000"/>
          <w:sz w:val="22"/>
        </w:rPr>
        <w:t>.</w:t>
      </w:r>
    </w:p>
    <w:p w14:paraId="5532D37B" w14:textId="77777777" w:rsidR="008E6F56" w:rsidRDefault="00B07096" w:rsidP="003F0B6E">
      <w:pPr>
        <w:numPr>
          <w:ilvl w:val="0"/>
          <w:numId w:val="18"/>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olor w:val="000000"/>
          <w:sz w:val="22"/>
        </w:rPr>
      </w:pPr>
      <w:r>
        <w:rPr>
          <w:rFonts w:ascii="Arial" w:hAnsi="Arial"/>
          <w:color w:val="000000"/>
          <w:sz w:val="22"/>
        </w:rPr>
        <w:t xml:space="preserve">Title 2 U.S. </w:t>
      </w:r>
      <w:r w:rsidRPr="00B1371B">
        <w:rPr>
          <w:rFonts w:ascii="Arial" w:hAnsi="Arial"/>
          <w:i/>
          <w:color w:val="000000"/>
          <w:sz w:val="22"/>
        </w:rPr>
        <w:t>Code of Federal Regulations</w:t>
      </w:r>
      <w:r>
        <w:rPr>
          <w:rFonts w:ascii="Arial" w:hAnsi="Arial"/>
          <w:color w:val="000000"/>
          <w:sz w:val="22"/>
        </w:rPr>
        <w:t xml:space="preserve"> (CFR) Part 200, </w:t>
      </w:r>
      <w:r w:rsidRPr="00B1371B">
        <w:rPr>
          <w:rFonts w:ascii="Arial" w:hAnsi="Arial"/>
          <w:i/>
          <w:color w:val="000000"/>
          <w:sz w:val="22"/>
        </w:rPr>
        <w:t>Uniform Administrative Requirements, Cost Principles, and Audit Requirements for Federal Awards</w:t>
      </w:r>
      <w:r>
        <w:rPr>
          <w:rFonts w:ascii="Arial" w:hAnsi="Arial"/>
          <w:color w:val="000000"/>
          <w:sz w:val="22"/>
        </w:rPr>
        <w:t xml:space="preserve"> (Uniform Guidance)</w:t>
      </w:r>
      <w:r w:rsidR="008E6F56">
        <w:rPr>
          <w:rFonts w:ascii="Arial" w:hAnsi="Arial"/>
          <w:color w:val="000000"/>
          <w:sz w:val="22"/>
        </w:rPr>
        <w:t>, when applicable.</w:t>
      </w:r>
    </w:p>
    <w:p w14:paraId="19E8069A" w14:textId="77777777" w:rsidR="00FC0D06" w:rsidRDefault="00FC0D0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75521184" w14:textId="77777777"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audit must comply with the </w:t>
      </w:r>
      <w:r>
        <w:rPr>
          <w:rFonts w:ascii="Arial" w:hAnsi="Arial"/>
          <w:i/>
          <w:color w:val="000000"/>
          <w:sz w:val="22"/>
        </w:rPr>
        <w:t>Louisiana Governmental Audit Guide</w:t>
      </w:r>
      <w:r>
        <w:rPr>
          <w:rFonts w:ascii="Arial" w:hAnsi="Arial"/>
          <w:color w:val="000000"/>
          <w:sz w:val="22"/>
        </w:rPr>
        <w:t>, issued by the Society of Louisiana Certified Public Accountants and the Louisiana Legislative Auditor.</w:t>
      </w:r>
    </w:p>
    <w:p w14:paraId="5553C29E" w14:textId="77777777" w:rsidR="00FC0D06" w:rsidRDefault="00FC0D0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095E0523" w14:textId="77777777"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In conjunction with the previously mentioned standards, the ICPA should:</w:t>
      </w:r>
    </w:p>
    <w:p w14:paraId="76F7CC1B" w14:textId="77777777" w:rsidR="008E6F56" w:rsidRDefault="008E6F56" w:rsidP="003F0B6E">
      <w:pPr>
        <w:numPr>
          <w:ilvl w:val="0"/>
          <w:numId w:val="11"/>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olor w:val="000000"/>
          <w:sz w:val="22"/>
        </w:rPr>
      </w:pPr>
      <w:r>
        <w:rPr>
          <w:rFonts w:ascii="Arial" w:hAnsi="Arial"/>
          <w:color w:val="000000"/>
          <w:sz w:val="22"/>
        </w:rPr>
        <w:t>Plan and perform the audit to obtain reasonable assurance about whether the financial statements are free of material misstatement caused by errors, fraud, or illegal acts.</w:t>
      </w:r>
    </w:p>
    <w:p w14:paraId="1B5E1116" w14:textId="77777777" w:rsidR="008E6F56" w:rsidRDefault="008E6F56" w:rsidP="003F0B6E">
      <w:pPr>
        <w:numPr>
          <w:ilvl w:val="0"/>
          <w:numId w:val="11"/>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olor w:val="000000"/>
          <w:sz w:val="22"/>
        </w:rPr>
      </w:pPr>
      <w:r>
        <w:rPr>
          <w:rFonts w:ascii="Arial" w:hAnsi="Arial"/>
          <w:color w:val="000000"/>
          <w:sz w:val="22"/>
        </w:rPr>
        <w:t>Examine sufficient evidential matter to support the opinions and comments expressed within the auditor's reports.</w:t>
      </w:r>
    </w:p>
    <w:p w14:paraId="02C2346A" w14:textId="77777777" w:rsidR="008E6F56" w:rsidRDefault="008E6F56" w:rsidP="003F0B6E">
      <w:pPr>
        <w:numPr>
          <w:ilvl w:val="0"/>
          <w:numId w:val="11"/>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olor w:val="000000"/>
          <w:sz w:val="22"/>
        </w:rPr>
      </w:pPr>
      <w:r>
        <w:rPr>
          <w:rFonts w:ascii="Arial" w:hAnsi="Arial"/>
          <w:color w:val="000000"/>
          <w:sz w:val="22"/>
        </w:rPr>
        <w:t>Assess the accounting principles used and significant estimates made by management, as well as evaluat</w:t>
      </w:r>
      <w:r w:rsidR="00732EC9">
        <w:rPr>
          <w:rFonts w:ascii="Arial" w:hAnsi="Arial"/>
          <w:color w:val="000000"/>
          <w:sz w:val="22"/>
        </w:rPr>
        <w:t>e</w:t>
      </w:r>
      <w:r>
        <w:rPr>
          <w:rFonts w:ascii="Arial" w:hAnsi="Arial"/>
          <w:color w:val="000000"/>
          <w:sz w:val="22"/>
        </w:rPr>
        <w:t xml:space="preserve"> the overall financial statement presentation.</w:t>
      </w:r>
    </w:p>
    <w:p w14:paraId="6F617B8E" w14:textId="77777777" w:rsidR="008E6F56" w:rsidRDefault="008E6F56" w:rsidP="003F0B6E">
      <w:pPr>
        <w:numPr>
          <w:ilvl w:val="0"/>
          <w:numId w:val="11"/>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olor w:val="000000"/>
          <w:sz w:val="22"/>
        </w:rPr>
      </w:pPr>
      <w:r>
        <w:rPr>
          <w:rFonts w:ascii="Arial" w:hAnsi="Arial"/>
          <w:color w:val="000000"/>
          <w:sz w:val="22"/>
        </w:rPr>
        <w:t>Include an assessment of the risk that errors and fraud may cause the financial statements to contain a material misstatement and consider illegal acts that could have a direct material effect on the financial statements, to the extent required by the previously mentioned standards, and based on the assessment, design tests to detect such matters.</w:t>
      </w:r>
    </w:p>
    <w:p w14:paraId="3789CF27" w14:textId="343125C4" w:rsidR="00961844" w:rsidRPr="00961844" w:rsidRDefault="008E6F56" w:rsidP="00961844">
      <w:pPr>
        <w:numPr>
          <w:ilvl w:val="0"/>
          <w:numId w:val="11"/>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olor w:val="000000"/>
          <w:sz w:val="22"/>
        </w:rPr>
      </w:pPr>
      <w:r>
        <w:rPr>
          <w:rFonts w:ascii="Arial" w:hAnsi="Arial"/>
          <w:color w:val="000000"/>
          <w:sz w:val="22"/>
        </w:rPr>
        <w:t>To the extent required by the previously mentioned standards and state law, any errors, fraud, illegal acts</w:t>
      </w:r>
      <w:r w:rsidR="004817F3">
        <w:rPr>
          <w:rFonts w:ascii="Arial" w:hAnsi="Arial"/>
          <w:color w:val="000000"/>
          <w:sz w:val="22"/>
        </w:rPr>
        <w:t>, or abuse</w:t>
      </w:r>
      <w:r>
        <w:rPr>
          <w:rFonts w:ascii="Arial" w:hAnsi="Arial"/>
          <w:color w:val="000000"/>
          <w:sz w:val="22"/>
        </w:rPr>
        <w:t xml:space="preserve"> detected during the audit should be included in the audit report.  In addition, the errors, fraud, illegal acts</w:t>
      </w:r>
      <w:r w:rsidR="004817F3">
        <w:rPr>
          <w:rFonts w:ascii="Arial" w:hAnsi="Arial"/>
          <w:color w:val="000000"/>
          <w:sz w:val="22"/>
        </w:rPr>
        <w:t>, or abuse</w:t>
      </w:r>
      <w:r>
        <w:rPr>
          <w:rFonts w:ascii="Arial" w:hAnsi="Arial"/>
          <w:color w:val="000000"/>
          <w:sz w:val="22"/>
        </w:rPr>
        <w:t xml:space="preserve"> should be brought to the attention of the audit committee, to the extent required by the previously mentioned standards.</w:t>
      </w:r>
    </w:p>
    <w:p w14:paraId="3B372671" w14:textId="77777777" w:rsidR="00FB7622" w:rsidRPr="00961844" w:rsidRDefault="008E6F56" w:rsidP="00F42ECC">
      <w:pPr>
        <w:numPr>
          <w:ilvl w:val="0"/>
          <w:numId w:val="11"/>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olor w:val="000000"/>
          <w:sz w:val="22"/>
        </w:rPr>
      </w:pPr>
      <w:r w:rsidRPr="00961844">
        <w:rPr>
          <w:rFonts w:ascii="Arial" w:hAnsi="Arial"/>
          <w:color w:val="000000"/>
          <w:sz w:val="22"/>
        </w:rPr>
        <w:t>Convey to the state agency, as appropriate, those matters observed relating to opportunities for economies of operation or other matters that should be brought to the state agency's attention.</w:t>
      </w:r>
    </w:p>
    <w:p w14:paraId="4DCA8A14" w14:textId="25ED63EB" w:rsidR="006C5270" w:rsidRDefault="006C5270">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p>
    <w:p w14:paraId="56FC5593" w14:textId="77777777" w:rsidR="00961844" w:rsidRDefault="00961844" w:rsidP="00961844">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In addition, the ICPA must evaluate and perform additional procedures when requested by the legislative auditor as it relates to allegations or complaints received by the legislative auditor related to the state agency.  </w:t>
      </w:r>
      <w:r w:rsidRPr="00FB7622">
        <w:rPr>
          <w:rFonts w:ascii="Arial" w:hAnsi="Arial"/>
          <w:color w:val="000000"/>
          <w:sz w:val="22"/>
        </w:rPr>
        <w:t xml:space="preserve">If the </w:t>
      </w:r>
      <w:r>
        <w:rPr>
          <w:rFonts w:ascii="Arial" w:hAnsi="Arial"/>
          <w:color w:val="000000"/>
          <w:sz w:val="22"/>
        </w:rPr>
        <w:t>ICPA</w:t>
      </w:r>
      <w:r w:rsidRPr="00FB7622">
        <w:rPr>
          <w:rFonts w:ascii="Arial" w:hAnsi="Arial"/>
          <w:color w:val="000000"/>
          <w:sz w:val="22"/>
        </w:rPr>
        <w:t xml:space="preserve"> has gained knowledge </w:t>
      </w:r>
      <w:r>
        <w:rPr>
          <w:rFonts w:ascii="Arial" w:hAnsi="Arial"/>
          <w:color w:val="000000"/>
          <w:sz w:val="22"/>
        </w:rPr>
        <w:t>of</w:t>
      </w:r>
      <w:r w:rsidRPr="00FB7622">
        <w:rPr>
          <w:rFonts w:ascii="Arial" w:hAnsi="Arial"/>
          <w:color w:val="000000"/>
          <w:sz w:val="22"/>
        </w:rPr>
        <w:t xml:space="preserve"> </w:t>
      </w:r>
      <w:r>
        <w:rPr>
          <w:rFonts w:ascii="Arial" w:hAnsi="Arial"/>
          <w:color w:val="000000"/>
          <w:sz w:val="22"/>
        </w:rPr>
        <w:t xml:space="preserve">matters related to </w:t>
      </w:r>
      <w:r w:rsidRPr="00FB7622">
        <w:rPr>
          <w:rFonts w:ascii="Arial" w:hAnsi="Arial"/>
          <w:color w:val="000000"/>
          <w:sz w:val="22"/>
        </w:rPr>
        <w:t xml:space="preserve">fraud, theft, or pledge/loan/donation of public funds and the </w:t>
      </w:r>
      <w:r>
        <w:rPr>
          <w:rFonts w:ascii="Arial" w:hAnsi="Arial"/>
          <w:color w:val="000000"/>
          <w:sz w:val="22"/>
        </w:rPr>
        <w:t>ICPA</w:t>
      </w:r>
      <w:r w:rsidRPr="00FB7622">
        <w:rPr>
          <w:rFonts w:ascii="Arial" w:hAnsi="Arial"/>
          <w:color w:val="000000"/>
          <w:sz w:val="22"/>
        </w:rPr>
        <w:t xml:space="preserve"> does not include these matters in the report, the </w:t>
      </w:r>
      <w:r>
        <w:rPr>
          <w:rFonts w:ascii="Arial" w:hAnsi="Arial"/>
          <w:color w:val="000000"/>
          <w:sz w:val="22"/>
        </w:rPr>
        <w:t>ICPA</w:t>
      </w:r>
      <w:r w:rsidRPr="00FB7622">
        <w:rPr>
          <w:rFonts w:ascii="Arial" w:hAnsi="Arial"/>
          <w:color w:val="000000"/>
          <w:sz w:val="22"/>
        </w:rPr>
        <w:t xml:space="preserve"> must contact the </w:t>
      </w:r>
      <w:r>
        <w:rPr>
          <w:rFonts w:ascii="Arial" w:hAnsi="Arial"/>
          <w:color w:val="000000"/>
          <w:sz w:val="22"/>
        </w:rPr>
        <w:t>legislative auditor</w:t>
      </w:r>
      <w:r w:rsidRPr="00FB7622">
        <w:rPr>
          <w:rFonts w:ascii="Arial" w:hAnsi="Arial"/>
          <w:color w:val="000000"/>
          <w:sz w:val="22"/>
        </w:rPr>
        <w:t xml:space="preserve"> to discuss before submitting the report</w:t>
      </w:r>
      <w:r>
        <w:rPr>
          <w:rFonts w:ascii="Arial" w:hAnsi="Arial"/>
          <w:color w:val="000000"/>
          <w:sz w:val="22"/>
        </w:rPr>
        <w:t>.</w:t>
      </w:r>
    </w:p>
    <w:p w14:paraId="1F1EF987" w14:textId="02576AA4" w:rsidR="00961844" w:rsidRDefault="00961844">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p>
    <w:p w14:paraId="6EA2CAB3" w14:textId="76472CE9" w:rsidR="00961844" w:rsidRDefault="00961844">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p>
    <w:p w14:paraId="6E1FF09D" w14:textId="77777777" w:rsidR="002913D5" w:rsidRPr="0058163D" w:rsidRDefault="00AD2FDF"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2"/>
        </w:rPr>
        <w:t xml:space="preserve">Nature of Services Required – </w:t>
      </w:r>
      <w:r w:rsidR="00C07E39">
        <w:rPr>
          <w:rFonts w:ascii="Arial" w:hAnsi="Arial"/>
          <w:b/>
          <w:color w:val="000000"/>
          <w:sz w:val="22"/>
        </w:rPr>
        <w:t>Agreed-Upon Procedures</w:t>
      </w:r>
    </w:p>
    <w:p w14:paraId="5A5E9E96" w14:textId="77777777" w:rsidR="002913D5" w:rsidRDefault="002913D5"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The agreed-upon procedures must be performed in accordance with:</w:t>
      </w:r>
    </w:p>
    <w:p w14:paraId="7AF6BB87" w14:textId="77777777" w:rsidR="002913D5" w:rsidRDefault="002913D5" w:rsidP="003F0B6E">
      <w:pPr>
        <w:numPr>
          <w:ilvl w:val="0"/>
          <w:numId w:val="15"/>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olor w:val="000000"/>
          <w:sz w:val="22"/>
        </w:rPr>
      </w:pPr>
      <w:r>
        <w:rPr>
          <w:rFonts w:ascii="Arial" w:hAnsi="Arial"/>
          <w:color w:val="000000"/>
          <w:sz w:val="22"/>
        </w:rPr>
        <w:t>Statements on Standards for Attestation Engagements issued by the A</w:t>
      </w:r>
      <w:r w:rsidR="00616E7E">
        <w:rPr>
          <w:rFonts w:ascii="Arial" w:hAnsi="Arial"/>
          <w:color w:val="000000"/>
          <w:sz w:val="22"/>
        </w:rPr>
        <w:t>merican Institute of Certified Public Accountants</w:t>
      </w:r>
      <w:r>
        <w:rPr>
          <w:rFonts w:ascii="Arial" w:hAnsi="Arial"/>
          <w:color w:val="000000"/>
          <w:sz w:val="22"/>
        </w:rPr>
        <w:t>.</w:t>
      </w:r>
    </w:p>
    <w:p w14:paraId="7C74EAC6" w14:textId="10D2C11C" w:rsidR="00E278D6" w:rsidRDefault="002913D5" w:rsidP="003F0B6E">
      <w:pPr>
        <w:numPr>
          <w:ilvl w:val="0"/>
          <w:numId w:val="15"/>
        </w:numPr>
        <w:tabs>
          <w:tab w:val="clear" w:pos="1080"/>
          <w:tab w:val="left" w:pos="316"/>
          <w:tab w:val="num"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olor w:val="000000"/>
          <w:sz w:val="22"/>
        </w:rPr>
      </w:pPr>
      <w:r>
        <w:rPr>
          <w:rFonts w:ascii="Arial" w:hAnsi="Arial"/>
          <w:color w:val="000000"/>
          <w:sz w:val="22"/>
        </w:rPr>
        <w:t xml:space="preserve">The applicable standards contained in </w:t>
      </w:r>
      <w:r>
        <w:rPr>
          <w:rFonts w:ascii="Arial" w:hAnsi="Arial"/>
          <w:i/>
          <w:color w:val="000000"/>
          <w:sz w:val="22"/>
        </w:rPr>
        <w:t>Government Auditing Standards</w:t>
      </w:r>
      <w:r>
        <w:rPr>
          <w:rFonts w:ascii="Arial" w:hAnsi="Arial"/>
          <w:color w:val="000000"/>
          <w:sz w:val="22"/>
        </w:rPr>
        <w:t>, issued by the Comptroller General of the United States.</w:t>
      </w:r>
    </w:p>
    <w:p w14:paraId="2C5FB09B" w14:textId="77777777" w:rsidR="00083BF8" w:rsidRDefault="00083BF8" w:rsidP="00C856B1">
      <w:pPr>
        <w:tabs>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6E06FBC1" w14:textId="46BD68AA" w:rsidR="002913D5" w:rsidRDefault="00F42ACA">
      <w:pPr>
        <w:tabs>
          <w:tab w:val="left" w:pos="316"/>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For the agreed-upon procedures to be performed, refer to the AUP </w:t>
      </w:r>
      <w:r w:rsidR="00B95169">
        <w:rPr>
          <w:rFonts w:ascii="Arial" w:hAnsi="Arial"/>
          <w:color w:val="000000"/>
          <w:sz w:val="22"/>
        </w:rPr>
        <w:t>r</w:t>
      </w:r>
      <w:r>
        <w:rPr>
          <w:rFonts w:ascii="Arial" w:hAnsi="Arial"/>
          <w:color w:val="000000"/>
          <w:sz w:val="22"/>
        </w:rPr>
        <w:t xml:space="preserve">eport </w:t>
      </w:r>
      <w:r w:rsidR="00B95169">
        <w:rPr>
          <w:rFonts w:ascii="Arial" w:hAnsi="Arial"/>
          <w:color w:val="000000"/>
          <w:sz w:val="22"/>
        </w:rPr>
        <w:t>t</w:t>
      </w:r>
      <w:r>
        <w:rPr>
          <w:rFonts w:ascii="Arial" w:hAnsi="Arial"/>
          <w:color w:val="000000"/>
          <w:sz w:val="22"/>
        </w:rPr>
        <w:t xml:space="preserve">emplate located on the </w:t>
      </w:r>
      <w:r w:rsidR="00B95169">
        <w:rPr>
          <w:rFonts w:ascii="Arial" w:hAnsi="Arial"/>
          <w:color w:val="000000"/>
          <w:sz w:val="22"/>
        </w:rPr>
        <w:t>legislative auditor’s s</w:t>
      </w:r>
      <w:r>
        <w:rPr>
          <w:rFonts w:ascii="Arial" w:hAnsi="Arial"/>
          <w:color w:val="000000"/>
          <w:sz w:val="22"/>
        </w:rPr>
        <w:t xml:space="preserve">tate </w:t>
      </w:r>
      <w:r w:rsidR="00B95169">
        <w:rPr>
          <w:rFonts w:ascii="Arial" w:hAnsi="Arial"/>
          <w:color w:val="000000"/>
          <w:sz w:val="22"/>
        </w:rPr>
        <w:t>c</w:t>
      </w:r>
      <w:r>
        <w:rPr>
          <w:rFonts w:ascii="Arial" w:hAnsi="Arial"/>
          <w:color w:val="000000"/>
          <w:sz w:val="22"/>
        </w:rPr>
        <w:t>ontracts webpage (</w:t>
      </w:r>
      <w:hyperlink r:id="rId10" w:history="1">
        <w:r w:rsidRPr="00F42ACA">
          <w:rPr>
            <w:rStyle w:val="Hyperlink"/>
            <w:rFonts w:ascii="Arial" w:hAnsi="Arial"/>
            <w:sz w:val="22"/>
          </w:rPr>
          <w:t>https://lla.la.gov/cpas/state-contracts/index.shtml</w:t>
        </w:r>
      </w:hyperlink>
      <w:r>
        <w:rPr>
          <w:rFonts w:ascii="Arial" w:hAnsi="Arial"/>
          <w:color w:val="000000"/>
          <w:sz w:val="22"/>
        </w:rPr>
        <w:t>)</w:t>
      </w:r>
      <w:r w:rsidR="000B72AF">
        <w:rPr>
          <w:rFonts w:ascii="Arial" w:hAnsi="Arial"/>
          <w:color w:val="000000"/>
          <w:sz w:val="22"/>
        </w:rPr>
        <w:t xml:space="preserve">.  The agreed-upon procedures must be included in the proposal.  Failure to include the agreed-upon procedures in the proposal may result in disqualification of a proposer. </w:t>
      </w:r>
    </w:p>
    <w:p w14:paraId="1CF505F7" w14:textId="77777777" w:rsidR="00097910" w:rsidRDefault="00097910" w:rsidP="003F0B6E">
      <w:pPr>
        <w:jc w:val="both"/>
        <w:rPr>
          <w:rFonts w:ascii="Arial" w:hAnsi="Arial" w:cs="Arial"/>
          <w:b/>
          <w:i/>
          <w:color w:val="000000"/>
        </w:rPr>
      </w:pPr>
    </w:p>
    <w:p w14:paraId="169102DF" w14:textId="77777777" w:rsidR="0058163D" w:rsidRDefault="00BD5FA2"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lastRenderedPageBreak/>
        <w:t xml:space="preserve">The </w:t>
      </w:r>
      <w:r w:rsidR="00C07E39">
        <w:rPr>
          <w:rFonts w:ascii="Arial" w:hAnsi="Arial"/>
          <w:color w:val="000000"/>
          <w:sz w:val="22"/>
        </w:rPr>
        <w:t>agreed-upon procedures</w:t>
      </w:r>
      <w:r w:rsidR="0058163D">
        <w:rPr>
          <w:rFonts w:ascii="Arial" w:hAnsi="Arial"/>
          <w:color w:val="000000"/>
          <w:sz w:val="22"/>
        </w:rPr>
        <w:t xml:space="preserve"> must comp</w:t>
      </w:r>
      <w:r w:rsidR="00616E7E">
        <w:rPr>
          <w:rFonts w:ascii="Arial" w:hAnsi="Arial"/>
          <w:color w:val="000000"/>
          <w:sz w:val="22"/>
        </w:rPr>
        <w:t>l</w:t>
      </w:r>
      <w:r w:rsidR="0058163D">
        <w:rPr>
          <w:rFonts w:ascii="Arial" w:hAnsi="Arial"/>
          <w:color w:val="000000"/>
          <w:sz w:val="22"/>
        </w:rPr>
        <w:t xml:space="preserve">y with the </w:t>
      </w:r>
      <w:r w:rsidR="0058163D" w:rsidRPr="00A2263F">
        <w:rPr>
          <w:rFonts w:ascii="Arial" w:hAnsi="Arial"/>
          <w:i/>
          <w:color w:val="000000"/>
          <w:sz w:val="22"/>
        </w:rPr>
        <w:t>Louisiana Governmental Audit Guide</w:t>
      </w:r>
      <w:r w:rsidR="0058163D">
        <w:rPr>
          <w:rFonts w:ascii="Arial" w:hAnsi="Arial"/>
          <w:color w:val="000000"/>
          <w:sz w:val="22"/>
        </w:rPr>
        <w:t>, issued by the Society of Louisiana Certified Public Accountants and the Louisiana Legislative Auditor.</w:t>
      </w:r>
    </w:p>
    <w:p w14:paraId="5427E992" w14:textId="7F7CAD07" w:rsidR="00083BF8" w:rsidRDefault="00083BF8" w:rsidP="00C856B1">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1A386799" w14:textId="26083E4F" w:rsidR="008E6F56" w:rsidRDefault="002337E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T</w:t>
      </w:r>
      <w:r w:rsidR="00A8635D">
        <w:rPr>
          <w:rFonts w:ascii="Arial" w:hAnsi="Arial"/>
          <w:color w:val="000000"/>
          <w:sz w:val="22"/>
        </w:rPr>
        <w:t>he ICPA should convey to the state agency, as appropriate, those matters observed relating to opportunities for economies of operation or other matters that should be brought to the state agency's attention.</w:t>
      </w:r>
      <w:r w:rsidR="000B72AF">
        <w:rPr>
          <w:rFonts w:ascii="Arial" w:hAnsi="Arial"/>
          <w:color w:val="000000"/>
          <w:sz w:val="22"/>
        </w:rPr>
        <w:t xml:space="preserve">  In addition, the ICPA </w:t>
      </w:r>
      <w:r>
        <w:rPr>
          <w:rFonts w:ascii="Arial" w:hAnsi="Arial"/>
          <w:color w:val="000000"/>
          <w:sz w:val="22"/>
        </w:rPr>
        <w:t xml:space="preserve">must </w:t>
      </w:r>
      <w:r w:rsidR="000B72AF">
        <w:rPr>
          <w:rFonts w:ascii="Arial" w:hAnsi="Arial"/>
          <w:color w:val="000000"/>
          <w:sz w:val="22"/>
        </w:rPr>
        <w:t xml:space="preserve">evaluate and perform additional procedures when requested by </w:t>
      </w:r>
      <w:r w:rsidR="00083BF8">
        <w:rPr>
          <w:rFonts w:ascii="Arial" w:hAnsi="Arial"/>
          <w:color w:val="000000"/>
          <w:sz w:val="22"/>
        </w:rPr>
        <w:t>the legislative auditor</w:t>
      </w:r>
      <w:r w:rsidR="000B72AF">
        <w:rPr>
          <w:rFonts w:ascii="Arial" w:hAnsi="Arial"/>
          <w:color w:val="000000"/>
          <w:sz w:val="22"/>
        </w:rPr>
        <w:t xml:space="preserve"> </w:t>
      </w:r>
      <w:r w:rsidR="00B95169">
        <w:rPr>
          <w:rFonts w:ascii="Arial" w:hAnsi="Arial"/>
          <w:color w:val="000000"/>
          <w:sz w:val="22"/>
        </w:rPr>
        <w:t>as it relates to</w:t>
      </w:r>
      <w:r w:rsidR="000B72AF">
        <w:rPr>
          <w:rFonts w:ascii="Arial" w:hAnsi="Arial"/>
          <w:color w:val="000000"/>
          <w:sz w:val="22"/>
        </w:rPr>
        <w:t xml:space="preserve"> allegations or complaints received by the </w:t>
      </w:r>
      <w:r w:rsidR="00083BF8">
        <w:rPr>
          <w:rFonts w:ascii="Arial" w:hAnsi="Arial"/>
          <w:color w:val="000000"/>
          <w:sz w:val="22"/>
        </w:rPr>
        <w:t>legislative auditor</w:t>
      </w:r>
      <w:r>
        <w:rPr>
          <w:rFonts w:ascii="Arial" w:hAnsi="Arial"/>
          <w:color w:val="000000"/>
          <w:sz w:val="22"/>
        </w:rPr>
        <w:t xml:space="preserve"> related to the state </w:t>
      </w:r>
      <w:r w:rsidR="00FD651D">
        <w:rPr>
          <w:rFonts w:ascii="Arial" w:hAnsi="Arial"/>
          <w:color w:val="000000"/>
          <w:sz w:val="22"/>
        </w:rPr>
        <w:t>agency</w:t>
      </w:r>
      <w:r w:rsidR="000B72AF">
        <w:rPr>
          <w:rFonts w:ascii="Arial" w:hAnsi="Arial"/>
          <w:color w:val="000000"/>
          <w:sz w:val="22"/>
        </w:rPr>
        <w:t>.</w:t>
      </w:r>
      <w:r w:rsidR="00FB7622">
        <w:rPr>
          <w:rFonts w:ascii="Arial" w:hAnsi="Arial"/>
          <w:color w:val="000000"/>
          <w:sz w:val="22"/>
        </w:rPr>
        <w:t xml:space="preserve">  </w:t>
      </w:r>
      <w:r w:rsidR="00FB7622" w:rsidRPr="00FB7622">
        <w:rPr>
          <w:rFonts w:ascii="Arial" w:hAnsi="Arial"/>
          <w:color w:val="000000"/>
          <w:sz w:val="22"/>
        </w:rPr>
        <w:t xml:space="preserve">If the </w:t>
      </w:r>
      <w:r w:rsidR="00FB7622">
        <w:rPr>
          <w:rFonts w:ascii="Arial" w:hAnsi="Arial"/>
          <w:color w:val="000000"/>
          <w:sz w:val="22"/>
        </w:rPr>
        <w:t>ICPA</w:t>
      </w:r>
      <w:r w:rsidR="00FB7622" w:rsidRPr="00FB7622">
        <w:rPr>
          <w:rFonts w:ascii="Arial" w:hAnsi="Arial"/>
          <w:color w:val="000000"/>
          <w:sz w:val="22"/>
        </w:rPr>
        <w:t xml:space="preserve"> has gained knowledge of matters outside of the agreed-upon procedures related to fraud, theft, or pledge/loan/donation of public funds and the </w:t>
      </w:r>
      <w:r w:rsidR="00FB7622">
        <w:rPr>
          <w:rFonts w:ascii="Arial" w:hAnsi="Arial"/>
          <w:color w:val="000000"/>
          <w:sz w:val="22"/>
        </w:rPr>
        <w:t>ICPA</w:t>
      </w:r>
      <w:r w:rsidR="00FB7622" w:rsidRPr="00FB7622">
        <w:rPr>
          <w:rFonts w:ascii="Arial" w:hAnsi="Arial"/>
          <w:color w:val="000000"/>
          <w:sz w:val="22"/>
        </w:rPr>
        <w:t xml:space="preserve"> does not include these matters in the report, the </w:t>
      </w:r>
      <w:r w:rsidR="00FB7622">
        <w:rPr>
          <w:rFonts w:ascii="Arial" w:hAnsi="Arial"/>
          <w:color w:val="000000"/>
          <w:sz w:val="22"/>
        </w:rPr>
        <w:t>ICPA</w:t>
      </w:r>
      <w:r w:rsidR="00FB7622" w:rsidRPr="00FB7622">
        <w:rPr>
          <w:rFonts w:ascii="Arial" w:hAnsi="Arial"/>
          <w:color w:val="000000"/>
          <w:sz w:val="22"/>
        </w:rPr>
        <w:t xml:space="preserve"> must contact the </w:t>
      </w:r>
      <w:r w:rsidR="00083BF8">
        <w:rPr>
          <w:rFonts w:ascii="Arial" w:hAnsi="Arial"/>
          <w:color w:val="000000"/>
          <w:sz w:val="22"/>
        </w:rPr>
        <w:t>legislative auditor</w:t>
      </w:r>
      <w:r w:rsidR="00FB7622" w:rsidRPr="00FB7622">
        <w:rPr>
          <w:rFonts w:ascii="Arial" w:hAnsi="Arial"/>
          <w:color w:val="000000"/>
          <w:sz w:val="22"/>
        </w:rPr>
        <w:t xml:space="preserve"> to discuss before submitting the report</w:t>
      </w:r>
      <w:r w:rsidR="00FB7622">
        <w:rPr>
          <w:rFonts w:ascii="Arial" w:hAnsi="Arial"/>
          <w:color w:val="000000"/>
          <w:sz w:val="22"/>
        </w:rPr>
        <w:t>.</w:t>
      </w:r>
    </w:p>
    <w:p w14:paraId="57148C45" w14:textId="77777777" w:rsidR="00A8635D" w:rsidRDefault="00A8635D">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4A5627E1" w14:textId="77777777" w:rsidR="008E6F56" w:rsidRPr="003F0B6E"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2"/>
        </w:rPr>
        <w:t>Report Requirements</w:t>
      </w:r>
      <w:r w:rsidR="00BD5FA2">
        <w:rPr>
          <w:rFonts w:ascii="Arial" w:hAnsi="Arial"/>
          <w:b/>
          <w:color w:val="000000"/>
          <w:sz w:val="22"/>
        </w:rPr>
        <w:t xml:space="preserve"> – A</w:t>
      </w:r>
      <w:r w:rsidR="0058163D">
        <w:rPr>
          <w:rFonts w:ascii="Arial" w:hAnsi="Arial"/>
          <w:b/>
          <w:color w:val="000000"/>
          <w:sz w:val="22"/>
        </w:rPr>
        <w:t>udits</w:t>
      </w:r>
    </w:p>
    <w:p w14:paraId="6644CEDC" w14:textId="77777777" w:rsidR="008E6F56" w:rsidRDefault="008E6F56" w:rsidP="003F0B6E">
      <w:pPr>
        <w:pStyle w:val="BodyText"/>
        <w:rPr>
          <w:rFonts w:ascii="Arial" w:hAnsi="Arial"/>
          <w:sz w:val="22"/>
        </w:rPr>
      </w:pPr>
      <w:r>
        <w:rPr>
          <w:rFonts w:ascii="Arial" w:hAnsi="Arial"/>
          <w:sz w:val="22"/>
        </w:rPr>
        <w:t>Each audit report shall include:</w:t>
      </w:r>
    </w:p>
    <w:p w14:paraId="78C0ABE1" w14:textId="77777777" w:rsidR="008E6F56" w:rsidRDefault="008E6F56" w:rsidP="003F0B6E">
      <w:pPr>
        <w:numPr>
          <w:ilvl w:val="0"/>
          <w:numId w:val="13"/>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Arial" w:hAnsi="Arial"/>
          <w:color w:val="000000"/>
          <w:sz w:val="22"/>
        </w:rPr>
      </w:pPr>
      <w:r>
        <w:rPr>
          <w:rFonts w:ascii="Arial" w:hAnsi="Arial"/>
          <w:color w:val="000000"/>
          <w:sz w:val="22"/>
        </w:rPr>
        <w:t>An Independent Auditor's Report.  The report shall include:</w:t>
      </w:r>
    </w:p>
    <w:p w14:paraId="128ECE67" w14:textId="77777777" w:rsidR="008E6F56" w:rsidRDefault="008E6F56" w:rsidP="003F0B6E">
      <w:pPr>
        <w:numPr>
          <w:ilvl w:val="1"/>
          <w:numId w:val="13"/>
        </w:numPr>
        <w:tabs>
          <w:tab w:val="clear" w:pos="1440"/>
          <w:tab w:val="left" w:pos="316"/>
          <w:tab w:val="left" w:pos="72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Arial" w:hAnsi="Arial"/>
          <w:color w:val="000000"/>
          <w:sz w:val="22"/>
        </w:rPr>
      </w:pPr>
      <w:r>
        <w:rPr>
          <w:rFonts w:ascii="Arial" w:hAnsi="Arial"/>
          <w:color w:val="000000"/>
          <w:sz w:val="22"/>
        </w:rPr>
        <w:t>An opinion or disclaimer of opinion as to the fair presentation of the agency's financial statements.</w:t>
      </w:r>
    </w:p>
    <w:p w14:paraId="0B90FC0B" w14:textId="77777777" w:rsidR="008E6F56" w:rsidRDefault="008E6F56" w:rsidP="003F0B6E">
      <w:pPr>
        <w:numPr>
          <w:ilvl w:val="1"/>
          <w:numId w:val="13"/>
        </w:numPr>
        <w:tabs>
          <w:tab w:val="clear" w:pos="1440"/>
          <w:tab w:val="left" w:pos="316"/>
          <w:tab w:val="left" w:pos="72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Arial" w:hAnsi="Arial"/>
          <w:color w:val="000000"/>
          <w:sz w:val="22"/>
        </w:rPr>
      </w:pPr>
      <w:r>
        <w:rPr>
          <w:rFonts w:ascii="Arial" w:hAnsi="Arial"/>
          <w:color w:val="000000"/>
          <w:sz w:val="22"/>
        </w:rPr>
        <w:t xml:space="preserve">An opinion or disclaimer of opinion as to </w:t>
      </w:r>
      <w:r w:rsidR="00B07096">
        <w:rPr>
          <w:rFonts w:ascii="Arial" w:hAnsi="Arial"/>
          <w:color w:val="000000"/>
          <w:sz w:val="22"/>
        </w:rPr>
        <w:t>whether</w:t>
      </w:r>
      <w:r>
        <w:rPr>
          <w:rFonts w:ascii="Arial" w:hAnsi="Arial"/>
          <w:color w:val="000000"/>
          <w:sz w:val="22"/>
        </w:rPr>
        <w:t xml:space="preserve"> the schedule of expenditures of federal awards</w:t>
      </w:r>
      <w:r w:rsidR="00B07096">
        <w:rPr>
          <w:rFonts w:ascii="Arial" w:hAnsi="Arial"/>
          <w:color w:val="000000"/>
          <w:sz w:val="22"/>
        </w:rPr>
        <w:t xml:space="preserve"> is fairly stated in all material respects in relation to the financial statements as a whole</w:t>
      </w:r>
      <w:r w:rsidR="00554187">
        <w:rPr>
          <w:rFonts w:ascii="Arial" w:hAnsi="Arial"/>
          <w:color w:val="000000"/>
          <w:sz w:val="22"/>
        </w:rPr>
        <w:t>, when applicable</w:t>
      </w:r>
      <w:r>
        <w:rPr>
          <w:rFonts w:ascii="Arial" w:hAnsi="Arial"/>
          <w:color w:val="000000"/>
          <w:sz w:val="22"/>
        </w:rPr>
        <w:t>.</w:t>
      </w:r>
    </w:p>
    <w:p w14:paraId="5421F56E" w14:textId="77777777" w:rsidR="008E6F56" w:rsidRDefault="008E6F56" w:rsidP="003F0B6E">
      <w:pPr>
        <w:numPr>
          <w:ilvl w:val="1"/>
          <w:numId w:val="13"/>
        </w:numPr>
        <w:tabs>
          <w:tab w:val="clear" w:pos="1440"/>
          <w:tab w:val="left" w:pos="316"/>
          <w:tab w:val="left" w:pos="72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Arial" w:hAnsi="Arial"/>
          <w:color w:val="000000"/>
          <w:sz w:val="22"/>
        </w:rPr>
      </w:pPr>
      <w:r>
        <w:rPr>
          <w:rFonts w:ascii="Arial" w:hAnsi="Arial"/>
          <w:color w:val="000000"/>
          <w:sz w:val="22"/>
        </w:rPr>
        <w:t>An opinion or disclaimer of opinion as to the fair presentation, in all material respects in relation to the agency's financial statements taken as a whole, of the Division of Administration</w:t>
      </w:r>
      <w:r w:rsidR="00554187">
        <w:rPr>
          <w:rFonts w:ascii="Arial" w:hAnsi="Arial"/>
          <w:color w:val="000000"/>
          <w:sz w:val="22"/>
        </w:rPr>
        <w:t xml:space="preserve">, Office of Statewide </w:t>
      </w:r>
      <w:r w:rsidR="002F1CAD">
        <w:rPr>
          <w:rFonts w:ascii="Arial" w:hAnsi="Arial"/>
          <w:color w:val="000000"/>
          <w:sz w:val="22"/>
        </w:rPr>
        <w:t xml:space="preserve">Reporting and </w:t>
      </w:r>
      <w:r w:rsidR="00554187">
        <w:rPr>
          <w:rFonts w:ascii="Arial" w:hAnsi="Arial"/>
          <w:color w:val="000000"/>
          <w:sz w:val="22"/>
        </w:rPr>
        <w:t>Accounting</w:t>
      </w:r>
      <w:r w:rsidR="00DB48E3">
        <w:rPr>
          <w:rFonts w:ascii="Arial" w:hAnsi="Arial"/>
          <w:color w:val="000000"/>
          <w:sz w:val="22"/>
        </w:rPr>
        <w:t xml:space="preserve"> Policy’s Annual Fiscal Report</w:t>
      </w:r>
      <w:r>
        <w:rPr>
          <w:rFonts w:ascii="Arial" w:hAnsi="Arial"/>
          <w:color w:val="000000"/>
          <w:sz w:val="22"/>
        </w:rPr>
        <w:t xml:space="preserve"> pack</w:t>
      </w:r>
      <w:r w:rsidR="00383CE8">
        <w:rPr>
          <w:rFonts w:ascii="Arial" w:hAnsi="Arial"/>
          <w:color w:val="000000"/>
          <w:sz w:val="22"/>
        </w:rPr>
        <w:t>et</w:t>
      </w:r>
      <w:r>
        <w:rPr>
          <w:rFonts w:ascii="Arial" w:hAnsi="Arial"/>
          <w:color w:val="000000"/>
          <w:sz w:val="22"/>
        </w:rPr>
        <w:t>.</w:t>
      </w:r>
    </w:p>
    <w:p w14:paraId="35D16915" w14:textId="77777777" w:rsidR="008E6F56" w:rsidRDefault="008E6F56" w:rsidP="003F0B6E">
      <w:pPr>
        <w:numPr>
          <w:ilvl w:val="0"/>
          <w:numId w:val="13"/>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Arial" w:hAnsi="Arial"/>
          <w:color w:val="000000"/>
          <w:sz w:val="22"/>
        </w:rPr>
      </w:pPr>
      <w:r>
        <w:rPr>
          <w:rFonts w:ascii="Arial" w:hAnsi="Arial"/>
          <w:color w:val="000000"/>
          <w:sz w:val="22"/>
        </w:rPr>
        <w:t xml:space="preserve">A report on </w:t>
      </w:r>
      <w:r w:rsidR="00383CE8">
        <w:rPr>
          <w:rFonts w:ascii="Arial" w:hAnsi="Arial"/>
          <w:color w:val="000000"/>
          <w:sz w:val="22"/>
        </w:rPr>
        <w:t xml:space="preserve">compliance and </w:t>
      </w:r>
      <w:r>
        <w:rPr>
          <w:rFonts w:ascii="Arial" w:hAnsi="Arial"/>
          <w:color w:val="000000"/>
          <w:sz w:val="22"/>
        </w:rPr>
        <w:t xml:space="preserve">internal control over financial reporting based on an audit of financial statements performed in accordance with </w:t>
      </w:r>
      <w:r>
        <w:rPr>
          <w:rFonts w:ascii="Arial" w:hAnsi="Arial"/>
          <w:i/>
          <w:color w:val="000000"/>
          <w:sz w:val="22"/>
        </w:rPr>
        <w:t>Government Auditing Standards</w:t>
      </w:r>
      <w:r>
        <w:rPr>
          <w:rFonts w:ascii="Arial" w:hAnsi="Arial"/>
          <w:color w:val="000000"/>
          <w:sz w:val="22"/>
        </w:rPr>
        <w:t>.</w:t>
      </w:r>
    </w:p>
    <w:p w14:paraId="3DB92897" w14:textId="77777777" w:rsidR="008E6F56" w:rsidRDefault="008E6F56" w:rsidP="003F0B6E">
      <w:pPr>
        <w:numPr>
          <w:ilvl w:val="0"/>
          <w:numId w:val="13"/>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Arial" w:hAnsi="Arial"/>
          <w:color w:val="000000"/>
          <w:sz w:val="22"/>
        </w:rPr>
      </w:pPr>
      <w:r>
        <w:rPr>
          <w:rFonts w:ascii="Arial" w:hAnsi="Arial"/>
          <w:color w:val="000000"/>
          <w:sz w:val="22"/>
        </w:rPr>
        <w:t xml:space="preserve">A report on compliance </w:t>
      </w:r>
      <w:r w:rsidR="00FE5BA5">
        <w:rPr>
          <w:rFonts w:ascii="Arial" w:hAnsi="Arial"/>
          <w:color w:val="000000"/>
          <w:sz w:val="22"/>
        </w:rPr>
        <w:t>for</w:t>
      </w:r>
      <w:r>
        <w:rPr>
          <w:rFonts w:ascii="Arial" w:hAnsi="Arial"/>
          <w:color w:val="000000"/>
          <w:sz w:val="22"/>
        </w:rPr>
        <w:t xml:space="preserve"> each major program and </w:t>
      </w:r>
      <w:r w:rsidR="00FE5BA5">
        <w:rPr>
          <w:rFonts w:ascii="Arial" w:hAnsi="Arial"/>
          <w:color w:val="000000"/>
          <w:sz w:val="22"/>
        </w:rPr>
        <w:t xml:space="preserve">a report </w:t>
      </w:r>
      <w:r w:rsidR="00AA43AD">
        <w:rPr>
          <w:rFonts w:ascii="Arial" w:hAnsi="Arial"/>
          <w:color w:val="000000"/>
          <w:sz w:val="22"/>
        </w:rPr>
        <w:t xml:space="preserve">on </w:t>
      </w:r>
      <w:r>
        <w:rPr>
          <w:rFonts w:ascii="Arial" w:hAnsi="Arial"/>
          <w:color w:val="000000"/>
          <w:sz w:val="22"/>
        </w:rPr>
        <w:t xml:space="preserve">internal control over compliance in accordance with </w:t>
      </w:r>
      <w:r w:rsidR="00FE5BA5">
        <w:rPr>
          <w:rFonts w:ascii="Arial" w:hAnsi="Arial"/>
          <w:color w:val="000000"/>
          <w:sz w:val="22"/>
        </w:rPr>
        <w:t>Uniform Guidance</w:t>
      </w:r>
      <w:r w:rsidR="00554187">
        <w:rPr>
          <w:rFonts w:ascii="Arial" w:hAnsi="Arial"/>
          <w:color w:val="000000"/>
          <w:sz w:val="22"/>
        </w:rPr>
        <w:t>, when applicable</w:t>
      </w:r>
      <w:r>
        <w:rPr>
          <w:rFonts w:ascii="Arial" w:hAnsi="Arial"/>
          <w:color w:val="000000"/>
          <w:sz w:val="22"/>
        </w:rPr>
        <w:t>.</w:t>
      </w:r>
    </w:p>
    <w:p w14:paraId="0356FA28" w14:textId="77777777" w:rsidR="008E6F56" w:rsidRDefault="008E6F56" w:rsidP="003F0B6E">
      <w:pPr>
        <w:numPr>
          <w:ilvl w:val="0"/>
          <w:numId w:val="13"/>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Arial" w:hAnsi="Arial"/>
          <w:color w:val="000000"/>
          <w:sz w:val="22"/>
        </w:rPr>
      </w:pPr>
      <w:r>
        <w:rPr>
          <w:rFonts w:ascii="Arial" w:hAnsi="Arial"/>
          <w:color w:val="000000"/>
          <w:sz w:val="22"/>
        </w:rPr>
        <w:t>A summary schedule of findings and questioned costs which shall include:</w:t>
      </w:r>
    </w:p>
    <w:p w14:paraId="3AC78714" w14:textId="77777777" w:rsidR="008E6F56" w:rsidRDefault="008E6F56" w:rsidP="003F0B6E">
      <w:pPr>
        <w:numPr>
          <w:ilvl w:val="1"/>
          <w:numId w:val="6"/>
        </w:numPr>
        <w:tabs>
          <w:tab w:val="clear" w:pos="720"/>
          <w:tab w:val="left" w:pos="316"/>
          <w:tab w:val="left" w:pos="810"/>
          <w:tab w:val="num" w:pos="1036"/>
          <w:tab w:val="left" w:pos="1080"/>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Arial" w:hAnsi="Arial"/>
          <w:color w:val="000000"/>
          <w:sz w:val="22"/>
        </w:rPr>
      </w:pPr>
      <w:r>
        <w:rPr>
          <w:rFonts w:ascii="Arial" w:hAnsi="Arial"/>
          <w:color w:val="000000"/>
          <w:sz w:val="22"/>
        </w:rPr>
        <w:t>A summary of the</w:t>
      </w:r>
      <w:r w:rsidR="00813675">
        <w:rPr>
          <w:rFonts w:ascii="Arial" w:hAnsi="Arial"/>
          <w:color w:val="000000"/>
          <w:sz w:val="22"/>
        </w:rPr>
        <w:t xml:space="preserve"> ICPA</w:t>
      </w:r>
      <w:r>
        <w:rPr>
          <w:rFonts w:ascii="Arial" w:hAnsi="Arial"/>
          <w:color w:val="000000"/>
          <w:sz w:val="22"/>
        </w:rPr>
        <w:t>’s results which shall include:</w:t>
      </w:r>
    </w:p>
    <w:p w14:paraId="1395ED19" w14:textId="77777777" w:rsidR="008E6F56" w:rsidRDefault="008E6F56"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t>The type of report the ICPA issued on the financial statements of the agency.</w:t>
      </w:r>
    </w:p>
    <w:p w14:paraId="79B5A1F5" w14:textId="77777777" w:rsidR="008E6F56" w:rsidRDefault="00554187"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t>Where applicable, a</w:t>
      </w:r>
      <w:r w:rsidR="008E6F56">
        <w:rPr>
          <w:rFonts w:ascii="Arial" w:hAnsi="Arial"/>
          <w:color w:val="000000"/>
          <w:sz w:val="22"/>
        </w:rPr>
        <w:t xml:space="preserve"> statement </w:t>
      </w:r>
      <w:r w:rsidR="00FE5BA5">
        <w:rPr>
          <w:rFonts w:ascii="Arial" w:hAnsi="Arial"/>
          <w:color w:val="000000"/>
          <w:sz w:val="22"/>
        </w:rPr>
        <w:t xml:space="preserve">about whether </w:t>
      </w:r>
      <w:r w:rsidR="008E6F56">
        <w:rPr>
          <w:rFonts w:ascii="Arial" w:hAnsi="Arial"/>
          <w:color w:val="000000"/>
          <w:sz w:val="22"/>
        </w:rPr>
        <w:t xml:space="preserve">the audit of the financial statements disclosed </w:t>
      </w:r>
      <w:r w:rsidR="00A47F66">
        <w:rPr>
          <w:rFonts w:ascii="Arial" w:hAnsi="Arial"/>
          <w:color w:val="000000"/>
          <w:sz w:val="22"/>
        </w:rPr>
        <w:t>significant deficiencies</w:t>
      </w:r>
      <w:r w:rsidR="008E6F56">
        <w:rPr>
          <w:rFonts w:ascii="Arial" w:hAnsi="Arial"/>
          <w:color w:val="000000"/>
          <w:sz w:val="22"/>
        </w:rPr>
        <w:t xml:space="preserve"> in internal </w:t>
      </w:r>
      <w:r w:rsidR="00A2263F">
        <w:rPr>
          <w:rFonts w:ascii="Arial" w:hAnsi="Arial"/>
          <w:color w:val="000000"/>
          <w:sz w:val="22"/>
        </w:rPr>
        <w:t xml:space="preserve">control </w:t>
      </w:r>
      <w:r w:rsidR="008E6F56">
        <w:rPr>
          <w:rFonts w:ascii="Arial" w:hAnsi="Arial"/>
          <w:color w:val="000000"/>
          <w:sz w:val="22"/>
        </w:rPr>
        <w:t xml:space="preserve">and whether any such </w:t>
      </w:r>
      <w:r w:rsidR="00A47F66">
        <w:rPr>
          <w:rFonts w:ascii="Arial" w:hAnsi="Arial"/>
          <w:color w:val="000000"/>
          <w:sz w:val="22"/>
        </w:rPr>
        <w:t>deficiencies</w:t>
      </w:r>
      <w:r w:rsidR="008E6F56">
        <w:rPr>
          <w:rFonts w:ascii="Arial" w:hAnsi="Arial"/>
          <w:color w:val="000000"/>
          <w:sz w:val="22"/>
        </w:rPr>
        <w:t xml:space="preserve"> were material weaknesses.</w:t>
      </w:r>
    </w:p>
    <w:p w14:paraId="481337F4" w14:textId="77777777" w:rsidR="008E6F56" w:rsidRDefault="008E6F56"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t xml:space="preserve">A statement as to whether the audit disclosed any noncompliance </w:t>
      </w:r>
      <w:r w:rsidR="00813675">
        <w:rPr>
          <w:rFonts w:ascii="Arial" w:hAnsi="Arial"/>
          <w:color w:val="000000"/>
          <w:sz w:val="22"/>
        </w:rPr>
        <w:t>that</w:t>
      </w:r>
      <w:r>
        <w:rPr>
          <w:rFonts w:ascii="Arial" w:hAnsi="Arial"/>
          <w:color w:val="000000"/>
          <w:sz w:val="22"/>
        </w:rPr>
        <w:t xml:space="preserve"> is material to the financial statements of the agency.</w:t>
      </w:r>
    </w:p>
    <w:p w14:paraId="24566089" w14:textId="77777777" w:rsidR="008E6F56" w:rsidRDefault="008E6F56"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t>A statement as to whether a management letter was issued.</w:t>
      </w:r>
    </w:p>
    <w:p w14:paraId="20C239E5" w14:textId="77777777" w:rsidR="00554187" w:rsidRDefault="00554187"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t xml:space="preserve">When subject to </w:t>
      </w:r>
      <w:r w:rsidR="00FE5BA5">
        <w:rPr>
          <w:rFonts w:ascii="Arial" w:hAnsi="Arial"/>
          <w:color w:val="000000"/>
          <w:sz w:val="22"/>
        </w:rPr>
        <w:t>Uniform Guidance</w:t>
      </w:r>
      <w:r>
        <w:rPr>
          <w:rFonts w:ascii="Arial" w:hAnsi="Arial"/>
          <w:color w:val="000000"/>
          <w:sz w:val="22"/>
        </w:rPr>
        <w:t>:</w:t>
      </w:r>
    </w:p>
    <w:p w14:paraId="5633BCAA" w14:textId="77777777" w:rsidR="008E6F56" w:rsidRDefault="008E6F56" w:rsidP="003F0B6E">
      <w:pPr>
        <w:numPr>
          <w:ilvl w:val="3"/>
          <w:numId w:val="6"/>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28" w:hanging="446"/>
        <w:jc w:val="both"/>
        <w:rPr>
          <w:rFonts w:ascii="Arial" w:hAnsi="Arial"/>
          <w:color w:val="000000"/>
          <w:sz w:val="22"/>
        </w:rPr>
      </w:pPr>
      <w:r>
        <w:rPr>
          <w:rFonts w:ascii="Arial" w:hAnsi="Arial"/>
          <w:color w:val="000000"/>
          <w:sz w:val="22"/>
        </w:rPr>
        <w:t xml:space="preserve">Where applicable, a statement </w:t>
      </w:r>
      <w:r w:rsidR="00FE5BA5">
        <w:rPr>
          <w:rFonts w:ascii="Arial" w:hAnsi="Arial"/>
          <w:color w:val="000000"/>
          <w:sz w:val="22"/>
        </w:rPr>
        <w:t xml:space="preserve">about whether </w:t>
      </w:r>
      <w:r w:rsidR="00A47F66">
        <w:rPr>
          <w:rFonts w:ascii="Arial" w:hAnsi="Arial"/>
          <w:color w:val="000000"/>
          <w:sz w:val="22"/>
        </w:rPr>
        <w:t xml:space="preserve">significant </w:t>
      </w:r>
      <w:r w:rsidR="00813675">
        <w:rPr>
          <w:rFonts w:ascii="Arial" w:hAnsi="Arial"/>
          <w:color w:val="000000"/>
          <w:sz w:val="22"/>
        </w:rPr>
        <w:t>deficiencies</w:t>
      </w:r>
      <w:r>
        <w:rPr>
          <w:rFonts w:ascii="Arial" w:hAnsi="Arial"/>
          <w:color w:val="000000"/>
          <w:sz w:val="22"/>
        </w:rPr>
        <w:t xml:space="preserve"> </w:t>
      </w:r>
      <w:r w:rsidR="00FE5BA5">
        <w:rPr>
          <w:rFonts w:ascii="Arial" w:hAnsi="Arial"/>
          <w:color w:val="000000"/>
          <w:sz w:val="22"/>
        </w:rPr>
        <w:t xml:space="preserve">or material weaknesses </w:t>
      </w:r>
      <w:r>
        <w:rPr>
          <w:rFonts w:ascii="Arial" w:hAnsi="Arial"/>
          <w:color w:val="000000"/>
          <w:sz w:val="22"/>
        </w:rPr>
        <w:t>in internal control over major programs were disclosed by the audit.</w:t>
      </w:r>
    </w:p>
    <w:p w14:paraId="19D9A19F" w14:textId="77777777" w:rsidR="008E6F56" w:rsidRDefault="008E6F56" w:rsidP="003F0B6E">
      <w:pPr>
        <w:numPr>
          <w:ilvl w:val="3"/>
          <w:numId w:val="6"/>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Arial" w:hAnsi="Arial"/>
          <w:color w:val="000000"/>
          <w:sz w:val="22"/>
        </w:rPr>
      </w:pPr>
      <w:r>
        <w:rPr>
          <w:rFonts w:ascii="Arial" w:hAnsi="Arial"/>
          <w:color w:val="000000"/>
          <w:sz w:val="22"/>
        </w:rPr>
        <w:t>The type of report the ICPA issued on compliance for major programs.</w:t>
      </w:r>
    </w:p>
    <w:p w14:paraId="4D1A1EC3" w14:textId="77777777" w:rsidR="008E6F56" w:rsidRDefault="008E6F56" w:rsidP="003F0B6E">
      <w:pPr>
        <w:numPr>
          <w:ilvl w:val="3"/>
          <w:numId w:val="6"/>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Arial" w:hAnsi="Arial"/>
          <w:color w:val="000000"/>
          <w:sz w:val="22"/>
        </w:rPr>
      </w:pPr>
      <w:r>
        <w:rPr>
          <w:rFonts w:ascii="Arial" w:hAnsi="Arial"/>
          <w:color w:val="000000"/>
          <w:sz w:val="22"/>
        </w:rPr>
        <w:t xml:space="preserve">A statement as to whether the audit disclosed any </w:t>
      </w:r>
      <w:r w:rsidR="00FE5BA5">
        <w:rPr>
          <w:rFonts w:ascii="Arial" w:hAnsi="Arial"/>
          <w:color w:val="000000"/>
          <w:sz w:val="22"/>
        </w:rPr>
        <w:t xml:space="preserve">audit </w:t>
      </w:r>
      <w:r>
        <w:rPr>
          <w:rFonts w:ascii="Arial" w:hAnsi="Arial"/>
          <w:color w:val="000000"/>
          <w:sz w:val="22"/>
        </w:rPr>
        <w:t xml:space="preserve">findings required to be </w:t>
      </w:r>
      <w:r w:rsidR="00FE5BA5">
        <w:rPr>
          <w:rFonts w:ascii="Arial" w:hAnsi="Arial"/>
          <w:color w:val="000000"/>
          <w:sz w:val="22"/>
        </w:rPr>
        <w:t xml:space="preserve">reported </w:t>
      </w:r>
      <w:r>
        <w:rPr>
          <w:rFonts w:ascii="Arial" w:hAnsi="Arial"/>
          <w:color w:val="000000"/>
          <w:sz w:val="22"/>
        </w:rPr>
        <w:t xml:space="preserve">under </w:t>
      </w:r>
      <w:r w:rsidR="00FE5BA5">
        <w:rPr>
          <w:rFonts w:ascii="Arial" w:hAnsi="Arial"/>
          <w:color w:val="000000"/>
          <w:sz w:val="22"/>
        </w:rPr>
        <w:t>Uniform Guidance (2 CFR 200.516(a))</w:t>
      </w:r>
      <w:r>
        <w:rPr>
          <w:rFonts w:ascii="Arial" w:hAnsi="Arial"/>
          <w:color w:val="000000"/>
          <w:sz w:val="22"/>
        </w:rPr>
        <w:t>.</w:t>
      </w:r>
    </w:p>
    <w:p w14:paraId="7E1AFC0C" w14:textId="77777777" w:rsidR="008E6F56" w:rsidRDefault="008E6F56" w:rsidP="003F0B6E">
      <w:pPr>
        <w:numPr>
          <w:ilvl w:val="3"/>
          <w:numId w:val="6"/>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Arial" w:hAnsi="Arial"/>
          <w:color w:val="000000"/>
          <w:sz w:val="22"/>
        </w:rPr>
      </w:pPr>
      <w:r>
        <w:rPr>
          <w:rFonts w:ascii="Arial" w:hAnsi="Arial"/>
          <w:color w:val="000000"/>
          <w:sz w:val="22"/>
        </w:rPr>
        <w:t>An identification of major programs.</w:t>
      </w:r>
    </w:p>
    <w:p w14:paraId="6C445710" w14:textId="77777777" w:rsidR="008E6F56" w:rsidRDefault="008E6F56" w:rsidP="003F0B6E">
      <w:pPr>
        <w:numPr>
          <w:ilvl w:val="3"/>
          <w:numId w:val="6"/>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Arial" w:hAnsi="Arial"/>
          <w:color w:val="000000"/>
          <w:sz w:val="22"/>
        </w:rPr>
      </w:pPr>
      <w:r>
        <w:rPr>
          <w:rFonts w:ascii="Arial" w:hAnsi="Arial"/>
          <w:color w:val="000000"/>
          <w:sz w:val="22"/>
        </w:rPr>
        <w:t xml:space="preserve">The dollar threshold used to distinguish between Type A and Type B programs, </w:t>
      </w:r>
      <w:r w:rsidR="00FE5BA5">
        <w:rPr>
          <w:rFonts w:ascii="Arial" w:hAnsi="Arial"/>
          <w:color w:val="000000"/>
          <w:sz w:val="22"/>
        </w:rPr>
        <w:t>as described in Uniform Guidance (2 CFR 200.518)</w:t>
      </w:r>
      <w:r>
        <w:rPr>
          <w:rFonts w:ascii="Arial" w:hAnsi="Arial"/>
          <w:color w:val="000000"/>
          <w:sz w:val="22"/>
        </w:rPr>
        <w:t>.</w:t>
      </w:r>
    </w:p>
    <w:p w14:paraId="14CCE0A6" w14:textId="77777777" w:rsidR="008E6F56" w:rsidRDefault="008E6F56" w:rsidP="003F0B6E">
      <w:pPr>
        <w:numPr>
          <w:ilvl w:val="3"/>
          <w:numId w:val="6"/>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36" w:hanging="450"/>
        <w:jc w:val="both"/>
        <w:rPr>
          <w:rFonts w:ascii="Arial" w:hAnsi="Arial"/>
          <w:color w:val="000000"/>
          <w:sz w:val="22"/>
        </w:rPr>
      </w:pPr>
      <w:r>
        <w:rPr>
          <w:rFonts w:ascii="Arial" w:hAnsi="Arial"/>
          <w:color w:val="000000"/>
          <w:sz w:val="22"/>
        </w:rPr>
        <w:t xml:space="preserve">A statement as to whether the agency qualified as a low-risk auditee under </w:t>
      </w:r>
      <w:r w:rsidR="00FE5BA5">
        <w:rPr>
          <w:rFonts w:ascii="Arial" w:hAnsi="Arial"/>
          <w:color w:val="000000"/>
          <w:sz w:val="22"/>
        </w:rPr>
        <w:t>Uniform Guidance (2 CFR 200.520)</w:t>
      </w:r>
      <w:r>
        <w:rPr>
          <w:rFonts w:ascii="Arial" w:hAnsi="Arial"/>
          <w:color w:val="000000"/>
          <w:sz w:val="22"/>
        </w:rPr>
        <w:t>.</w:t>
      </w:r>
    </w:p>
    <w:p w14:paraId="12D30012" w14:textId="77777777" w:rsidR="008E6F56" w:rsidRDefault="008E6F56" w:rsidP="003F0B6E">
      <w:pPr>
        <w:numPr>
          <w:ilvl w:val="1"/>
          <w:numId w:val="6"/>
        </w:numPr>
        <w:tabs>
          <w:tab w:val="clear" w:pos="720"/>
          <w:tab w:val="left" w:pos="316"/>
          <w:tab w:val="left" w:pos="810"/>
          <w:tab w:val="num" w:pos="1036"/>
          <w:tab w:val="left" w:pos="1080"/>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Arial" w:hAnsi="Arial"/>
          <w:sz w:val="22"/>
        </w:rPr>
      </w:pPr>
      <w:r>
        <w:rPr>
          <w:rFonts w:ascii="Arial" w:hAnsi="Arial"/>
          <w:color w:val="000000"/>
          <w:sz w:val="22"/>
        </w:rPr>
        <w:t>Findings</w:t>
      </w:r>
      <w:r>
        <w:rPr>
          <w:rFonts w:ascii="Arial" w:hAnsi="Arial"/>
          <w:sz w:val="22"/>
        </w:rPr>
        <w:t xml:space="preserve"> and questioned costs which are required to be reported in accordance with </w:t>
      </w:r>
      <w:r>
        <w:rPr>
          <w:rFonts w:ascii="Arial" w:hAnsi="Arial"/>
          <w:i/>
          <w:sz w:val="22"/>
        </w:rPr>
        <w:t xml:space="preserve">Government Auditing Standards </w:t>
      </w:r>
      <w:r>
        <w:rPr>
          <w:rFonts w:ascii="Arial" w:hAnsi="Arial"/>
          <w:sz w:val="22"/>
        </w:rPr>
        <w:t>and</w:t>
      </w:r>
      <w:r w:rsidR="00760715">
        <w:rPr>
          <w:rFonts w:ascii="Arial" w:hAnsi="Arial"/>
          <w:sz w:val="22"/>
        </w:rPr>
        <w:t>/or</w:t>
      </w:r>
      <w:r>
        <w:rPr>
          <w:rFonts w:ascii="Arial" w:hAnsi="Arial"/>
          <w:sz w:val="22"/>
        </w:rPr>
        <w:t xml:space="preserve"> </w:t>
      </w:r>
      <w:r w:rsidR="00FE5BA5">
        <w:rPr>
          <w:rFonts w:ascii="Arial" w:hAnsi="Arial"/>
          <w:sz w:val="22"/>
        </w:rPr>
        <w:t>Uniform Guidance</w:t>
      </w:r>
      <w:r>
        <w:rPr>
          <w:rFonts w:ascii="Arial" w:hAnsi="Arial"/>
          <w:sz w:val="22"/>
        </w:rPr>
        <w:t>, shall be identified by number, shall be presented in sufficient detail for the agency to develop and implement a corrective action plan, and shall include:</w:t>
      </w:r>
    </w:p>
    <w:p w14:paraId="43B67C1E" w14:textId="77777777" w:rsidR="007A3E1D" w:rsidRDefault="007A3E1D"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lastRenderedPageBreak/>
        <w:t xml:space="preserve">Significant deficiencies in internal control relating to the presented financial statements and, when applicable, </w:t>
      </w:r>
      <w:r w:rsidR="00FE5BA5">
        <w:rPr>
          <w:rFonts w:ascii="Arial" w:hAnsi="Arial"/>
          <w:color w:val="000000"/>
          <w:sz w:val="22"/>
        </w:rPr>
        <w:t xml:space="preserve">significant deficiencies and material weaknesses in internal control </w:t>
      </w:r>
      <w:r>
        <w:rPr>
          <w:rFonts w:ascii="Arial" w:hAnsi="Arial"/>
          <w:color w:val="000000"/>
          <w:sz w:val="22"/>
        </w:rPr>
        <w:t>over major programs</w:t>
      </w:r>
      <w:r w:rsidR="00FE5BA5">
        <w:rPr>
          <w:rFonts w:ascii="Arial" w:hAnsi="Arial"/>
          <w:color w:val="000000"/>
          <w:sz w:val="22"/>
        </w:rPr>
        <w:t xml:space="preserve"> and significant instances of abuse relating to major programs</w:t>
      </w:r>
      <w:r>
        <w:rPr>
          <w:rFonts w:ascii="Arial" w:hAnsi="Arial"/>
          <w:color w:val="000000"/>
          <w:sz w:val="22"/>
        </w:rPr>
        <w:t>.  For federal purposes, the ICPA’s determination of whether a deficiency in internal control is a significant deficiency</w:t>
      </w:r>
      <w:r w:rsidR="00FE5BA5">
        <w:rPr>
          <w:rFonts w:ascii="Arial" w:hAnsi="Arial"/>
          <w:color w:val="000000"/>
          <w:sz w:val="22"/>
        </w:rPr>
        <w:t xml:space="preserve"> or material weakness for the purpose of reporting an audit finding</w:t>
      </w:r>
      <w:r>
        <w:rPr>
          <w:rFonts w:ascii="Arial" w:hAnsi="Arial"/>
          <w:color w:val="000000"/>
          <w:sz w:val="22"/>
        </w:rPr>
        <w:t xml:space="preserve"> is in relation to a type of compliance requirement for a major program identified in the </w:t>
      </w:r>
      <w:r w:rsidR="001C7DD5">
        <w:rPr>
          <w:rFonts w:ascii="Arial" w:hAnsi="Arial"/>
          <w:color w:val="000000"/>
          <w:sz w:val="22"/>
        </w:rPr>
        <w:t>Compliance Supplement</w:t>
      </w:r>
      <w:r>
        <w:rPr>
          <w:rFonts w:ascii="Arial" w:hAnsi="Arial"/>
          <w:color w:val="000000"/>
          <w:sz w:val="22"/>
        </w:rPr>
        <w:t>.  Repeated significant deficiencies and/or material weaknesses shall indicate the number of years the matter has been reported.</w:t>
      </w:r>
    </w:p>
    <w:p w14:paraId="4AC472F9" w14:textId="77777777" w:rsidR="007A3E1D" w:rsidRDefault="007A3E1D"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t xml:space="preserve">Material noncompliance with the provisions of law, regulations, contracts, or grant agreements related to the presented financial statements and, where applicable, major programs.  For federal purposes, the ICPA’s determination of whether a noncompliance with the provisions of </w:t>
      </w:r>
      <w:r w:rsidR="001C7DD5">
        <w:rPr>
          <w:rFonts w:ascii="Arial" w:hAnsi="Arial"/>
          <w:color w:val="000000"/>
          <w:sz w:val="22"/>
        </w:rPr>
        <w:t>federal statutes</w:t>
      </w:r>
      <w:r>
        <w:rPr>
          <w:rFonts w:ascii="Arial" w:hAnsi="Arial"/>
          <w:color w:val="000000"/>
          <w:sz w:val="22"/>
        </w:rPr>
        <w:t xml:space="preserve">, regulations, </w:t>
      </w:r>
      <w:r w:rsidR="001C7DD5">
        <w:rPr>
          <w:rFonts w:ascii="Arial" w:hAnsi="Arial"/>
          <w:color w:val="000000"/>
          <w:sz w:val="22"/>
        </w:rPr>
        <w:t>or the terms and conditions of federal awards</w:t>
      </w:r>
      <w:r>
        <w:rPr>
          <w:rFonts w:ascii="Arial" w:hAnsi="Arial"/>
          <w:color w:val="000000"/>
          <w:sz w:val="22"/>
        </w:rPr>
        <w:t xml:space="preserve"> is material </w:t>
      </w:r>
      <w:r w:rsidR="001C7DD5">
        <w:rPr>
          <w:rFonts w:ascii="Arial" w:hAnsi="Arial"/>
          <w:color w:val="000000"/>
          <w:sz w:val="22"/>
        </w:rPr>
        <w:t xml:space="preserve">for the purpose of reporting an audit finding </w:t>
      </w:r>
      <w:r>
        <w:rPr>
          <w:rFonts w:ascii="Arial" w:hAnsi="Arial"/>
          <w:color w:val="000000"/>
          <w:sz w:val="22"/>
        </w:rPr>
        <w:t xml:space="preserve">is in relation to a type of compliance requirement for a major program identified in the </w:t>
      </w:r>
      <w:r w:rsidR="001C7DD5">
        <w:rPr>
          <w:rFonts w:ascii="Arial" w:hAnsi="Arial"/>
          <w:color w:val="000000"/>
          <w:sz w:val="22"/>
        </w:rPr>
        <w:t>Compliance Supplement</w:t>
      </w:r>
      <w:r>
        <w:rPr>
          <w:rFonts w:ascii="Arial" w:hAnsi="Arial"/>
          <w:color w:val="000000"/>
          <w:sz w:val="22"/>
        </w:rPr>
        <w:t>.  Repeated instances of noncompliance shall indicate the number of years the matter has been reported.</w:t>
      </w:r>
    </w:p>
    <w:p w14:paraId="6D7B9FC2" w14:textId="77777777" w:rsidR="007A3E1D" w:rsidRDefault="007A3E1D"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t xml:space="preserve">When subject to </w:t>
      </w:r>
      <w:r w:rsidR="001C7DD5">
        <w:rPr>
          <w:rFonts w:ascii="Arial" w:hAnsi="Arial"/>
          <w:color w:val="000000"/>
          <w:sz w:val="22"/>
        </w:rPr>
        <w:t>Uniform Guidance</w:t>
      </w:r>
      <w:r>
        <w:rPr>
          <w:rFonts w:ascii="Arial" w:hAnsi="Arial"/>
          <w:color w:val="000000"/>
          <w:sz w:val="22"/>
        </w:rPr>
        <w:t>:</w:t>
      </w:r>
    </w:p>
    <w:p w14:paraId="3AACC57F" w14:textId="77777777" w:rsidR="007A3E1D" w:rsidRDefault="007A3E1D" w:rsidP="003F0B6E">
      <w:pPr>
        <w:numPr>
          <w:ilvl w:val="3"/>
          <w:numId w:val="6"/>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28" w:hanging="446"/>
        <w:jc w:val="both"/>
        <w:rPr>
          <w:rFonts w:ascii="Arial" w:hAnsi="Arial"/>
          <w:color w:val="000000"/>
          <w:sz w:val="22"/>
        </w:rPr>
      </w:pPr>
      <w:r>
        <w:rPr>
          <w:rFonts w:ascii="Arial" w:hAnsi="Arial"/>
          <w:color w:val="000000"/>
          <w:sz w:val="22"/>
        </w:rPr>
        <w:t>Known questioned costs that are greater than $</w:t>
      </w:r>
      <w:r w:rsidR="001C7DD5">
        <w:rPr>
          <w:rFonts w:ascii="Arial" w:hAnsi="Arial"/>
          <w:color w:val="000000"/>
          <w:sz w:val="22"/>
        </w:rPr>
        <w:t>25</w:t>
      </w:r>
      <w:r>
        <w:rPr>
          <w:rFonts w:ascii="Arial" w:hAnsi="Arial"/>
          <w:color w:val="000000"/>
          <w:sz w:val="22"/>
        </w:rPr>
        <w:t>,000 for a type of compliance requirement for a major program.  The ICPA shall also report known questioned costs when likely questioned costs are greater than $</w:t>
      </w:r>
      <w:r w:rsidR="001C7DD5">
        <w:rPr>
          <w:rFonts w:ascii="Arial" w:hAnsi="Arial"/>
          <w:color w:val="000000"/>
          <w:sz w:val="22"/>
        </w:rPr>
        <w:t>25</w:t>
      </w:r>
      <w:r>
        <w:rPr>
          <w:rFonts w:ascii="Arial" w:hAnsi="Arial"/>
          <w:color w:val="000000"/>
          <w:sz w:val="22"/>
        </w:rPr>
        <w:t>,000 for a type of compliance requirement for a major program.</w:t>
      </w:r>
    </w:p>
    <w:p w14:paraId="112161E5" w14:textId="77777777" w:rsidR="007A3E1D" w:rsidRDefault="007A3E1D" w:rsidP="003F0B6E">
      <w:pPr>
        <w:numPr>
          <w:ilvl w:val="3"/>
          <w:numId w:val="6"/>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28" w:hanging="446"/>
        <w:jc w:val="both"/>
        <w:rPr>
          <w:rFonts w:ascii="Arial" w:hAnsi="Arial"/>
          <w:color w:val="000000"/>
          <w:sz w:val="22"/>
        </w:rPr>
      </w:pPr>
      <w:r>
        <w:rPr>
          <w:rFonts w:ascii="Arial" w:hAnsi="Arial"/>
          <w:color w:val="000000"/>
          <w:sz w:val="22"/>
        </w:rPr>
        <w:t>Known questioned costs that are greater than $</w:t>
      </w:r>
      <w:r w:rsidR="001C7DD5">
        <w:rPr>
          <w:rFonts w:ascii="Arial" w:hAnsi="Arial"/>
          <w:color w:val="000000"/>
          <w:sz w:val="22"/>
        </w:rPr>
        <w:t>25</w:t>
      </w:r>
      <w:r>
        <w:rPr>
          <w:rFonts w:ascii="Arial" w:hAnsi="Arial"/>
          <w:color w:val="000000"/>
          <w:sz w:val="22"/>
        </w:rPr>
        <w:t xml:space="preserve">,000 for a federal program that is not audited as a major program.  Except for audit follow-up, the ICPA is not required under </w:t>
      </w:r>
      <w:r w:rsidR="001C7DD5">
        <w:rPr>
          <w:rFonts w:ascii="Arial" w:hAnsi="Arial"/>
          <w:color w:val="000000"/>
          <w:sz w:val="22"/>
        </w:rPr>
        <w:t>Uniform Guidance (2 CFR 200)</w:t>
      </w:r>
      <w:r>
        <w:rPr>
          <w:rFonts w:ascii="Arial" w:hAnsi="Arial"/>
          <w:color w:val="000000"/>
          <w:sz w:val="22"/>
        </w:rPr>
        <w:t xml:space="preserve"> to perform audit procedures for such a federal program.</w:t>
      </w:r>
    </w:p>
    <w:p w14:paraId="48B54FFA" w14:textId="77777777" w:rsidR="007A3E1D" w:rsidRDefault="007A3E1D" w:rsidP="003F0B6E">
      <w:pPr>
        <w:numPr>
          <w:ilvl w:val="3"/>
          <w:numId w:val="6"/>
        </w:numPr>
        <w:tabs>
          <w:tab w:val="clear" w:pos="2160"/>
          <w:tab w:val="left" w:pos="316"/>
          <w:tab w:val="left" w:pos="720"/>
          <w:tab w:val="num" w:pos="1936"/>
          <w:tab w:val="left" w:pos="2880"/>
          <w:tab w:val="left" w:pos="3600"/>
          <w:tab w:val="left" w:pos="4320"/>
          <w:tab w:val="left" w:pos="5040"/>
          <w:tab w:val="left" w:pos="5760"/>
          <w:tab w:val="left" w:pos="6480"/>
          <w:tab w:val="left" w:pos="7200"/>
          <w:tab w:val="left" w:pos="7920"/>
          <w:tab w:val="left" w:pos="8640"/>
        </w:tabs>
        <w:ind w:left="1928" w:hanging="446"/>
        <w:jc w:val="both"/>
        <w:rPr>
          <w:rFonts w:ascii="Arial" w:hAnsi="Arial"/>
          <w:color w:val="000000"/>
          <w:sz w:val="22"/>
        </w:rPr>
      </w:pPr>
      <w:r>
        <w:rPr>
          <w:rFonts w:ascii="Arial" w:hAnsi="Arial"/>
          <w:color w:val="000000"/>
          <w:sz w:val="22"/>
        </w:rPr>
        <w:t>The circumstances concerning why the ICPA’s report on compliance for</w:t>
      </w:r>
      <w:r w:rsidR="001C7DD5">
        <w:rPr>
          <w:rFonts w:ascii="Arial" w:hAnsi="Arial"/>
          <w:color w:val="000000"/>
          <w:sz w:val="22"/>
        </w:rPr>
        <w:t xml:space="preserve"> each</w:t>
      </w:r>
      <w:r>
        <w:rPr>
          <w:rFonts w:ascii="Arial" w:hAnsi="Arial"/>
          <w:color w:val="000000"/>
          <w:sz w:val="22"/>
        </w:rPr>
        <w:t xml:space="preserve"> major program is other than an </w:t>
      </w:r>
      <w:r w:rsidR="001C7DD5">
        <w:rPr>
          <w:rFonts w:ascii="Arial" w:hAnsi="Arial"/>
          <w:color w:val="000000"/>
          <w:sz w:val="22"/>
        </w:rPr>
        <w:t xml:space="preserve">unmodified </w:t>
      </w:r>
      <w:r>
        <w:rPr>
          <w:rFonts w:ascii="Arial" w:hAnsi="Arial"/>
          <w:color w:val="000000"/>
          <w:sz w:val="22"/>
        </w:rPr>
        <w:t>opinion, unless such circumstances are otherwise reported as audit findings in the schedule of findings and questioned costs for federal awards.</w:t>
      </w:r>
    </w:p>
    <w:p w14:paraId="6ECA1617" w14:textId="77777777" w:rsidR="007A3E1D" w:rsidRDefault="007A3E1D"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t>Known</w:t>
      </w:r>
      <w:r w:rsidR="001C7DD5">
        <w:rPr>
          <w:rFonts w:ascii="Arial" w:hAnsi="Arial"/>
          <w:color w:val="000000"/>
          <w:sz w:val="22"/>
        </w:rPr>
        <w:t xml:space="preserve"> or likely</w:t>
      </w:r>
      <w:r>
        <w:rPr>
          <w:rFonts w:ascii="Arial" w:hAnsi="Arial"/>
          <w:color w:val="000000"/>
          <w:sz w:val="22"/>
        </w:rPr>
        <w:t xml:space="preserve"> fraud.</w:t>
      </w:r>
    </w:p>
    <w:p w14:paraId="59BE5C40" w14:textId="77777777" w:rsidR="007A3E1D" w:rsidRPr="007A3E1D" w:rsidRDefault="007A3E1D" w:rsidP="003F0B6E">
      <w:pPr>
        <w:numPr>
          <w:ilvl w:val="2"/>
          <w:numId w:val="6"/>
        </w:numPr>
        <w:tabs>
          <w:tab w:val="clear" w:pos="1440"/>
          <w:tab w:val="left" w:pos="316"/>
          <w:tab w:val="left" w:pos="720"/>
          <w:tab w:val="num" w:pos="1486"/>
          <w:tab w:val="left" w:pos="2160"/>
          <w:tab w:val="left" w:pos="2880"/>
          <w:tab w:val="left" w:pos="3600"/>
          <w:tab w:val="left" w:pos="4320"/>
          <w:tab w:val="left" w:pos="5040"/>
          <w:tab w:val="left" w:pos="5760"/>
          <w:tab w:val="left" w:pos="6480"/>
          <w:tab w:val="left" w:pos="7200"/>
          <w:tab w:val="left" w:pos="7920"/>
          <w:tab w:val="left" w:pos="8640"/>
        </w:tabs>
        <w:ind w:left="1486" w:hanging="450"/>
        <w:jc w:val="both"/>
        <w:rPr>
          <w:rFonts w:ascii="Arial" w:hAnsi="Arial"/>
          <w:color w:val="000000"/>
          <w:sz w:val="22"/>
        </w:rPr>
      </w:pPr>
      <w:r>
        <w:rPr>
          <w:rFonts w:ascii="Arial" w:hAnsi="Arial"/>
          <w:color w:val="000000"/>
          <w:sz w:val="22"/>
        </w:rPr>
        <w:t>Instances where the results of audit follow-up procedures disclosed that the summary schedule of prior findings materially misrepresents the status of any prior</w:t>
      </w:r>
      <w:r w:rsidR="001C7DD5">
        <w:rPr>
          <w:rFonts w:ascii="Arial" w:hAnsi="Arial"/>
          <w:color w:val="000000"/>
          <w:sz w:val="22"/>
        </w:rPr>
        <w:t xml:space="preserve"> audit</w:t>
      </w:r>
      <w:r>
        <w:rPr>
          <w:rFonts w:ascii="Arial" w:hAnsi="Arial"/>
          <w:color w:val="000000"/>
          <w:sz w:val="22"/>
        </w:rPr>
        <w:t xml:space="preserve"> finding.</w:t>
      </w:r>
    </w:p>
    <w:p w14:paraId="76E5F2AA" w14:textId="77777777" w:rsidR="007A3E1D" w:rsidRDefault="007A3E1D" w:rsidP="003F0B6E">
      <w:pPr>
        <w:numPr>
          <w:ilvl w:val="1"/>
          <w:numId w:val="6"/>
        </w:numPr>
        <w:tabs>
          <w:tab w:val="clear" w:pos="720"/>
          <w:tab w:val="left" w:pos="316"/>
          <w:tab w:val="left" w:pos="810"/>
          <w:tab w:val="num" w:pos="1036"/>
          <w:tab w:val="left" w:pos="1080"/>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Arial" w:hAnsi="Arial"/>
          <w:sz w:val="22"/>
        </w:rPr>
      </w:pPr>
      <w:r>
        <w:rPr>
          <w:rFonts w:ascii="Arial" w:hAnsi="Arial"/>
          <w:color w:val="000000"/>
          <w:sz w:val="22"/>
        </w:rPr>
        <w:t>Or, a statement that there are no findings to report.</w:t>
      </w:r>
    </w:p>
    <w:p w14:paraId="6E9B67C7" w14:textId="77777777" w:rsidR="008E6F56" w:rsidRDefault="008E6F56" w:rsidP="003F0B6E">
      <w:pPr>
        <w:numPr>
          <w:ilvl w:val="0"/>
          <w:numId w:val="13"/>
        </w:numPr>
        <w:tabs>
          <w:tab w:val="clear" w:pos="1080"/>
          <w:tab w:val="left" w:pos="316"/>
          <w:tab w:val="num" w:pos="6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Arial" w:hAnsi="Arial"/>
          <w:color w:val="000000"/>
          <w:sz w:val="22"/>
        </w:rPr>
      </w:pPr>
      <w:r>
        <w:rPr>
          <w:rFonts w:ascii="Arial" w:hAnsi="Arial"/>
          <w:color w:val="000000"/>
          <w:sz w:val="22"/>
        </w:rPr>
        <w:t>A management letter, if applicable, detailing matters not significant or material in relation to the required reports.  Only nonmaterial instances of noncompliance and/</w:t>
      </w:r>
      <w:r w:rsidR="00A67BE2">
        <w:rPr>
          <w:rFonts w:ascii="Arial" w:hAnsi="Arial"/>
          <w:color w:val="000000"/>
          <w:sz w:val="22"/>
        </w:rPr>
        <w:t>or control deficiencies</w:t>
      </w:r>
      <w:r>
        <w:rPr>
          <w:rFonts w:ascii="Arial" w:hAnsi="Arial"/>
          <w:color w:val="000000"/>
          <w:sz w:val="22"/>
        </w:rPr>
        <w:t xml:space="preserve"> shall be included in a management letter</w:t>
      </w:r>
      <w:r w:rsidR="00760715">
        <w:rPr>
          <w:rFonts w:ascii="Arial" w:hAnsi="Arial"/>
          <w:color w:val="000000"/>
          <w:sz w:val="22"/>
        </w:rPr>
        <w:t>.</w:t>
      </w:r>
    </w:p>
    <w:p w14:paraId="5AE93F98" w14:textId="77777777" w:rsidR="008E6F56" w:rsidRDefault="008E6F56" w:rsidP="003F0B6E">
      <w:pPr>
        <w:numPr>
          <w:ilvl w:val="0"/>
          <w:numId w:val="9"/>
        </w:numPr>
        <w:tabs>
          <w:tab w:val="clear" w:pos="360"/>
          <w:tab w:val="num" w:pos="676"/>
          <w:tab w:val="left" w:pos="1440"/>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Arial" w:hAnsi="Arial"/>
          <w:color w:val="000000"/>
          <w:sz w:val="22"/>
        </w:rPr>
      </w:pPr>
      <w:r>
        <w:rPr>
          <w:rFonts w:ascii="Arial" w:hAnsi="Arial"/>
          <w:color w:val="000000"/>
          <w:sz w:val="22"/>
        </w:rPr>
        <w:t xml:space="preserve">A summary schedule of prior findings.  The summary schedule shall either </w:t>
      </w:r>
      <w:r w:rsidR="0040277C">
        <w:rPr>
          <w:rFonts w:ascii="Arial" w:hAnsi="Arial"/>
          <w:color w:val="000000"/>
          <w:sz w:val="22"/>
        </w:rPr>
        <w:t>include</w:t>
      </w:r>
      <w:r>
        <w:rPr>
          <w:rFonts w:ascii="Arial" w:hAnsi="Arial"/>
          <w:color w:val="000000"/>
          <w:sz w:val="22"/>
        </w:rPr>
        <w:t>:</w:t>
      </w:r>
    </w:p>
    <w:p w14:paraId="41397F43" w14:textId="77777777" w:rsidR="008E6F56" w:rsidRDefault="008E6F56" w:rsidP="003F0B6E">
      <w:pPr>
        <w:numPr>
          <w:ilvl w:val="0"/>
          <w:numId w:val="8"/>
        </w:numPr>
        <w:tabs>
          <w:tab w:val="clear" w:pos="36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Arial" w:hAnsi="Arial"/>
          <w:color w:val="000000"/>
          <w:sz w:val="22"/>
        </w:rPr>
      </w:pPr>
      <w:r>
        <w:rPr>
          <w:rFonts w:ascii="Arial" w:hAnsi="Arial"/>
          <w:color w:val="000000"/>
          <w:sz w:val="22"/>
        </w:rPr>
        <w:t xml:space="preserve">The status of </w:t>
      </w:r>
      <w:r w:rsidR="001C7DD5">
        <w:rPr>
          <w:rFonts w:ascii="Arial" w:hAnsi="Arial"/>
          <w:color w:val="000000"/>
          <w:sz w:val="22"/>
        </w:rPr>
        <w:t xml:space="preserve">all audit </w:t>
      </w:r>
      <w:r>
        <w:rPr>
          <w:rFonts w:ascii="Arial" w:hAnsi="Arial"/>
          <w:color w:val="000000"/>
          <w:sz w:val="22"/>
        </w:rPr>
        <w:t xml:space="preserve">findings </w:t>
      </w:r>
      <w:r w:rsidR="00760715">
        <w:rPr>
          <w:rFonts w:ascii="Arial" w:hAnsi="Arial"/>
          <w:color w:val="000000"/>
          <w:sz w:val="22"/>
        </w:rPr>
        <w:t xml:space="preserve">and comments </w:t>
      </w:r>
      <w:r>
        <w:rPr>
          <w:rFonts w:ascii="Arial" w:hAnsi="Arial"/>
          <w:color w:val="000000"/>
          <w:sz w:val="22"/>
        </w:rPr>
        <w:t xml:space="preserve">included in the prior audit’s schedule of findings and questioned costs and/or management letter; and the status of </w:t>
      </w:r>
      <w:r w:rsidR="001C7DD5">
        <w:rPr>
          <w:rFonts w:ascii="Arial" w:hAnsi="Arial"/>
          <w:color w:val="000000"/>
          <w:sz w:val="22"/>
        </w:rPr>
        <w:t xml:space="preserve">audit </w:t>
      </w:r>
      <w:r>
        <w:rPr>
          <w:rFonts w:ascii="Arial" w:hAnsi="Arial"/>
          <w:color w:val="000000"/>
          <w:sz w:val="22"/>
        </w:rPr>
        <w:t xml:space="preserve">findings included in the prior audit’s summary schedule of prior findings (except for findings that were noted as </w:t>
      </w:r>
      <w:r w:rsidR="001C7DD5">
        <w:rPr>
          <w:rFonts w:ascii="Arial" w:hAnsi="Arial"/>
          <w:color w:val="000000"/>
          <w:sz w:val="22"/>
        </w:rPr>
        <w:t>corrected</w:t>
      </w:r>
      <w:r>
        <w:rPr>
          <w:rFonts w:ascii="Arial" w:hAnsi="Arial"/>
          <w:color w:val="000000"/>
          <w:sz w:val="22"/>
        </w:rPr>
        <w:t>).</w:t>
      </w:r>
      <w:r w:rsidR="001C7DD5">
        <w:rPr>
          <w:rFonts w:ascii="Arial" w:hAnsi="Arial"/>
          <w:color w:val="000000"/>
          <w:sz w:val="22"/>
        </w:rPr>
        <w:t xml:space="preserve">  The summary schedule of prior audit findings must include the reference numbers the auditor assigns to the audit findings under 2 CFR 200.516(c).</w:t>
      </w:r>
      <w:r>
        <w:rPr>
          <w:rFonts w:ascii="Arial" w:hAnsi="Arial"/>
          <w:color w:val="000000"/>
          <w:sz w:val="22"/>
        </w:rPr>
        <w:t xml:space="preserve">  Since the summary schedule may include findings from multiple years, it </w:t>
      </w:r>
      <w:r w:rsidR="001C7DD5">
        <w:rPr>
          <w:rFonts w:ascii="Arial" w:hAnsi="Arial"/>
          <w:color w:val="000000"/>
          <w:sz w:val="22"/>
        </w:rPr>
        <w:t xml:space="preserve">must </w:t>
      </w:r>
      <w:r>
        <w:rPr>
          <w:rFonts w:ascii="Arial" w:hAnsi="Arial"/>
          <w:color w:val="000000"/>
          <w:sz w:val="22"/>
        </w:rPr>
        <w:t>include the fiscal year in which the finding initially occurred.</w:t>
      </w:r>
      <w:r w:rsidR="001C7DD5">
        <w:rPr>
          <w:rFonts w:ascii="Arial" w:hAnsi="Arial"/>
          <w:color w:val="000000"/>
          <w:sz w:val="22"/>
        </w:rPr>
        <w:t xml:space="preserve">  The summary schedule of prior audit findings must include findings relating to the financial statements which are required to be reported in accordance with GAGAS.</w:t>
      </w:r>
    </w:p>
    <w:p w14:paraId="55D40D66" w14:textId="77777777"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6"/>
        <w:jc w:val="both"/>
        <w:rPr>
          <w:rFonts w:ascii="Arial" w:hAnsi="Arial"/>
          <w:color w:val="000000"/>
          <w:sz w:val="22"/>
        </w:rPr>
      </w:pPr>
      <w:r>
        <w:rPr>
          <w:rFonts w:ascii="Arial" w:hAnsi="Arial"/>
          <w:color w:val="000000"/>
          <w:sz w:val="22"/>
        </w:rPr>
        <w:t xml:space="preserve">For findings that were fully corrected, the summary schedule </w:t>
      </w:r>
      <w:r w:rsidR="00030102">
        <w:rPr>
          <w:rFonts w:ascii="Arial" w:hAnsi="Arial"/>
          <w:color w:val="000000"/>
          <w:sz w:val="22"/>
        </w:rPr>
        <w:t>need only list the audit findings</w:t>
      </w:r>
      <w:r>
        <w:rPr>
          <w:rFonts w:ascii="Arial" w:hAnsi="Arial"/>
          <w:color w:val="000000"/>
          <w:sz w:val="22"/>
        </w:rPr>
        <w:t xml:space="preserve"> and state that corrective action was taken.</w:t>
      </w:r>
    </w:p>
    <w:p w14:paraId="4312D6A6" w14:textId="77777777"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6"/>
        <w:jc w:val="both"/>
        <w:rPr>
          <w:rFonts w:ascii="Arial" w:hAnsi="Arial"/>
          <w:color w:val="000000"/>
          <w:sz w:val="22"/>
        </w:rPr>
      </w:pPr>
      <w:r>
        <w:rPr>
          <w:rFonts w:ascii="Arial" w:hAnsi="Arial"/>
          <w:color w:val="000000"/>
          <w:sz w:val="22"/>
        </w:rPr>
        <w:t xml:space="preserve">For findings that were not corrected or only partially corrected, the summary schedule </w:t>
      </w:r>
      <w:r w:rsidR="00030102">
        <w:rPr>
          <w:rFonts w:ascii="Arial" w:hAnsi="Arial"/>
          <w:color w:val="000000"/>
          <w:sz w:val="22"/>
        </w:rPr>
        <w:t>must</w:t>
      </w:r>
      <w:r>
        <w:rPr>
          <w:rFonts w:ascii="Arial" w:hAnsi="Arial"/>
          <w:color w:val="000000"/>
          <w:sz w:val="22"/>
        </w:rPr>
        <w:t xml:space="preserve"> describe the </w:t>
      </w:r>
      <w:r w:rsidR="00030102">
        <w:rPr>
          <w:rFonts w:ascii="Arial" w:hAnsi="Arial"/>
          <w:color w:val="000000"/>
          <w:sz w:val="22"/>
        </w:rPr>
        <w:t xml:space="preserve">reasons for the finding’s recurrence and </w:t>
      </w:r>
      <w:r>
        <w:rPr>
          <w:rFonts w:ascii="Arial" w:hAnsi="Arial"/>
          <w:color w:val="000000"/>
          <w:sz w:val="22"/>
        </w:rPr>
        <w:t>planned corrective action as well as any partial corrective action taken.</w:t>
      </w:r>
    </w:p>
    <w:p w14:paraId="44C17AEB" w14:textId="77777777"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6"/>
        <w:jc w:val="both"/>
        <w:rPr>
          <w:rFonts w:ascii="Arial" w:hAnsi="Arial"/>
          <w:color w:val="000000"/>
          <w:sz w:val="22"/>
        </w:rPr>
      </w:pPr>
      <w:r>
        <w:rPr>
          <w:rFonts w:ascii="Arial" w:hAnsi="Arial"/>
          <w:color w:val="000000"/>
          <w:sz w:val="22"/>
        </w:rPr>
        <w:lastRenderedPageBreak/>
        <w:t>When corrective action taken is significantly different from</w:t>
      </w:r>
      <w:r w:rsidR="00030102">
        <w:rPr>
          <w:rFonts w:ascii="Arial" w:hAnsi="Arial"/>
          <w:color w:val="000000"/>
          <w:sz w:val="22"/>
        </w:rPr>
        <w:t xml:space="preserve"> corrective action</w:t>
      </w:r>
      <w:r>
        <w:rPr>
          <w:rFonts w:ascii="Arial" w:hAnsi="Arial"/>
          <w:color w:val="000000"/>
          <w:sz w:val="22"/>
        </w:rPr>
        <w:t xml:space="preserve"> previously reported in a corrective action plan, or in the federal agency’s or pass-through entity’s management decision, or in a response to the Legislative Audit Advisory Council, the summary schedule </w:t>
      </w:r>
      <w:r w:rsidR="00030102">
        <w:rPr>
          <w:rFonts w:ascii="Arial" w:hAnsi="Arial"/>
          <w:color w:val="000000"/>
          <w:sz w:val="22"/>
        </w:rPr>
        <w:t xml:space="preserve">must </w:t>
      </w:r>
      <w:r>
        <w:rPr>
          <w:rFonts w:ascii="Arial" w:hAnsi="Arial"/>
          <w:color w:val="000000"/>
          <w:sz w:val="22"/>
        </w:rPr>
        <w:t>provide an explanation for the difference.</w:t>
      </w:r>
    </w:p>
    <w:p w14:paraId="4D955054" w14:textId="77777777" w:rsidR="008E6F56" w:rsidRDefault="008E6F56" w:rsidP="003F0B6E">
      <w:pPr>
        <w:numPr>
          <w:ilvl w:val="0"/>
          <w:numId w:val="1"/>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96"/>
        <w:jc w:val="both"/>
        <w:rPr>
          <w:rFonts w:ascii="Arial" w:hAnsi="Arial"/>
          <w:color w:val="000000"/>
          <w:sz w:val="22"/>
        </w:rPr>
      </w:pPr>
      <w:r>
        <w:rPr>
          <w:rFonts w:ascii="Arial" w:hAnsi="Arial"/>
          <w:color w:val="000000"/>
          <w:sz w:val="22"/>
        </w:rPr>
        <w:t xml:space="preserve">When the agency believes the </w:t>
      </w:r>
      <w:proofErr w:type="gramStart"/>
      <w:r>
        <w:rPr>
          <w:rFonts w:ascii="Arial" w:hAnsi="Arial"/>
          <w:color w:val="000000"/>
          <w:sz w:val="22"/>
        </w:rPr>
        <w:t>audit</w:t>
      </w:r>
      <w:proofErr w:type="gramEnd"/>
      <w:r>
        <w:rPr>
          <w:rFonts w:ascii="Arial" w:hAnsi="Arial"/>
          <w:color w:val="000000"/>
          <w:sz w:val="22"/>
        </w:rPr>
        <w:t xml:space="preserve"> findings are no longer valid or do not warrant further action, the reasons for this position shall be described in the summary schedule.</w:t>
      </w:r>
    </w:p>
    <w:p w14:paraId="743780E0" w14:textId="77777777" w:rsidR="008E6F56" w:rsidRDefault="008E6F56" w:rsidP="003F0B6E">
      <w:pPr>
        <w:numPr>
          <w:ilvl w:val="0"/>
          <w:numId w:val="8"/>
        </w:numPr>
        <w:tabs>
          <w:tab w:val="clear" w:pos="360"/>
          <w:tab w:val="num" w:pos="1036"/>
          <w:tab w:val="left" w:pos="2160"/>
          <w:tab w:val="left" w:pos="2880"/>
          <w:tab w:val="left" w:pos="3600"/>
          <w:tab w:val="left" w:pos="4320"/>
          <w:tab w:val="left" w:pos="5040"/>
          <w:tab w:val="left" w:pos="5760"/>
          <w:tab w:val="left" w:pos="6480"/>
          <w:tab w:val="left" w:pos="7200"/>
          <w:tab w:val="left" w:pos="7920"/>
          <w:tab w:val="left" w:pos="8640"/>
        </w:tabs>
        <w:ind w:left="1036"/>
        <w:jc w:val="both"/>
        <w:rPr>
          <w:rFonts w:ascii="Arial" w:hAnsi="Arial"/>
          <w:color w:val="000000"/>
          <w:sz w:val="22"/>
        </w:rPr>
      </w:pPr>
      <w:r>
        <w:rPr>
          <w:rFonts w:ascii="Arial" w:hAnsi="Arial"/>
          <w:color w:val="000000"/>
          <w:sz w:val="22"/>
        </w:rPr>
        <w:t>Or, a statement that there were no findings to report.</w:t>
      </w:r>
    </w:p>
    <w:p w14:paraId="105813D4" w14:textId="6D06D748" w:rsidR="008E6F56" w:rsidRDefault="008E6F56" w:rsidP="003F0B6E">
      <w:pPr>
        <w:numPr>
          <w:ilvl w:val="0"/>
          <w:numId w:val="7"/>
        </w:numPr>
        <w:tabs>
          <w:tab w:val="clear" w:pos="360"/>
          <w:tab w:val="num" w:pos="676"/>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Arial" w:hAnsi="Arial"/>
          <w:color w:val="000000"/>
          <w:sz w:val="22"/>
        </w:rPr>
      </w:pPr>
      <w:r>
        <w:rPr>
          <w:rFonts w:ascii="Arial" w:hAnsi="Arial"/>
          <w:color w:val="000000"/>
          <w:sz w:val="22"/>
        </w:rPr>
        <w:t xml:space="preserve">Management’s corrective action plan (prepared by the agency).  The plan </w:t>
      </w:r>
      <w:r w:rsidR="00030102">
        <w:rPr>
          <w:rFonts w:ascii="Arial" w:hAnsi="Arial"/>
          <w:color w:val="000000"/>
          <w:sz w:val="22"/>
        </w:rPr>
        <w:t xml:space="preserve">must </w:t>
      </w:r>
      <w:r>
        <w:rPr>
          <w:rFonts w:ascii="Arial" w:hAnsi="Arial"/>
          <w:color w:val="000000"/>
          <w:sz w:val="22"/>
        </w:rPr>
        <w:t xml:space="preserve">address audit finding and/or management letter comment included in the </w:t>
      </w:r>
      <w:r w:rsidR="003C0570">
        <w:rPr>
          <w:rFonts w:ascii="Arial" w:hAnsi="Arial"/>
          <w:color w:val="000000"/>
          <w:sz w:val="22"/>
        </w:rPr>
        <w:t>ICPA</w:t>
      </w:r>
      <w:r>
        <w:rPr>
          <w:rFonts w:ascii="Arial" w:hAnsi="Arial"/>
          <w:color w:val="000000"/>
          <w:sz w:val="22"/>
        </w:rPr>
        <w:t>’s current year reports.  The plan shall provide the name of the contact person responsible for corrective action, the corrective action planned, and the anticipated completion date.  If the</w:t>
      </w:r>
      <w:r w:rsidR="003C0570">
        <w:rPr>
          <w:rFonts w:ascii="Arial" w:hAnsi="Arial"/>
          <w:color w:val="000000"/>
          <w:sz w:val="22"/>
        </w:rPr>
        <w:t xml:space="preserve"> </w:t>
      </w:r>
      <w:r w:rsidR="002337E7">
        <w:rPr>
          <w:rFonts w:ascii="Arial" w:hAnsi="Arial"/>
          <w:color w:val="000000"/>
          <w:sz w:val="22"/>
        </w:rPr>
        <w:t>entity</w:t>
      </w:r>
      <w:r w:rsidR="003C0570">
        <w:rPr>
          <w:rFonts w:ascii="Arial" w:hAnsi="Arial"/>
          <w:color w:val="000000"/>
          <w:sz w:val="22"/>
        </w:rPr>
        <w:t xml:space="preserve"> does not agree with the </w:t>
      </w:r>
      <w:r>
        <w:rPr>
          <w:rFonts w:ascii="Arial" w:hAnsi="Arial"/>
          <w:color w:val="000000"/>
          <w:sz w:val="22"/>
        </w:rPr>
        <w:t xml:space="preserve">findings or believes corrective action is not required, then the corrective action plan shall include an explanation and specific reasons.  </w:t>
      </w:r>
      <w:r w:rsidR="00030102">
        <w:rPr>
          <w:rFonts w:ascii="Arial" w:hAnsi="Arial"/>
          <w:color w:val="000000"/>
          <w:sz w:val="22"/>
        </w:rPr>
        <w:t xml:space="preserve">For findings written in accordance with Uniform Guidance, the corrective action plan must include the reference numbers the auditor assigns to the audit findings under 2 CFR 200.516(c).  </w:t>
      </w:r>
      <w:r>
        <w:rPr>
          <w:rFonts w:ascii="Arial" w:hAnsi="Arial"/>
          <w:color w:val="000000"/>
          <w:sz w:val="22"/>
        </w:rPr>
        <w:t>If the agency fails to provide a corrective action plan, the report and/or management letter shall include a statement(s) that management failed to respond to the findings and/or comments.</w:t>
      </w:r>
    </w:p>
    <w:p w14:paraId="1DFD68A3" w14:textId="77777777" w:rsidR="001B64F2" w:rsidRDefault="001B64F2" w:rsidP="003F0B6E">
      <w:pPr>
        <w:numPr>
          <w:ilvl w:val="0"/>
          <w:numId w:val="7"/>
        </w:numPr>
        <w:tabs>
          <w:tab w:val="clear" w:pos="360"/>
          <w:tab w:val="num" w:pos="676"/>
          <w:tab w:val="left" w:pos="2160"/>
          <w:tab w:val="left" w:pos="2880"/>
          <w:tab w:val="left" w:pos="3600"/>
          <w:tab w:val="left" w:pos="4320"/>
          <w:tab w:val="left" w:pos="5040"/>
          <w:tab w:val="left" w:pos="5760"/>
          <w:tab w:val="left" w:pos="6480"/>
          <w:tab w:val="left" w:pos="7200"/>
          <w:tab w:val="left" w:pos="7920"/>
          <w:tab w:val="left" w:pos="8640"/>
        </w:tabs>
        <w:ind w:left="676"/>
        <w:jc w:val="both"/>
        <w:rPr>
          <w:rFonts w:ascii="Arial" w:hAnsi="Arial"/>
          <w:color w:val="000000"/>
          <w:sz w:val="22"/>
        </w:rPr>
      </w:pPr>
      <w:r>
        <w:rPr>
          <w:rFonts w:ascii="Arial" w:hAnsi="Arial"/>
          <w:color w:val="000000"/>
          <w:sz w:val="22"/>
        </w:rPr>
        <w:t>The ICPA further agrees to provide</w:t>
      </w:r>
      <w:r w:rsidR="00D903B9">
        <w:rPr>
          <w:rFonts w:ascii="Arial" w:hAnsi="Arial"/>
          <w:color w:val="000000"/>
          <w:sz w:val="22"/>
        </w:rPr>
        <w:t xml:space="preserve"> the Division of Administration, Office of Statewide Reporting and Accounting Policy’s Annual Fiscal Report packet as supplementary information</w:t>
      </w:r>
      <w:r>
        <w:rPr>
          <w:rFonts w:ascii="Arial" w:hAnsi="Arial"/>
          <w:color w:val="000000"/>
          <w:sz w:val="22"/>
        </w:rPr>
        <w:t xml:space="preserve">, where </w:t>
      </w:r>
      <w:r w:rsidR="00D903B9">
        <w:rPr>
          <w:rFonts w:ascii="Arial" w:hAnsi="Arial"/>
          <w:color w:val="000000"/>
          <w:sz w:val="22"/>
        </w:rPr>
        <w:t>applicable.</w:t>
      </w:r>
    </w:p>
    <w:p w14:paraId="1DA3E6AC" w14:textId="77777777" w:rsidR="00760715" w:rsidRDefault="00760715">
      <w:pPr>
        <w:tabs>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w:hAnsi="Arial"/>
          <w:color w:val="000000"/>
          <w:sz w:val="22"/>
        </w:rPr>
      </w:pPr>
    </w:p>
    <w:p w14:paraId="33D50377" w14:textId="77777777" w:rsidR="00760715" w:rsidRDefault="003C0570"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b/>
          <w:color w:val="000000"/>
          <w:sz w:val="22"/>
        </w:rPr>
        <w:t xml:space="preserve">Report Requirements – </w:t>
      </w:r>
      <w:r w:rsidR="007C67AD">
        <w:rPr>
          <w:rFonts w:ascii="Arial" w:hAnsi="Arial"/>
          <w:b/>
          <w:color w:val="000000"/>
          <w:sz w:val="22"/>
        </w:rPr>
        <w:t>Agreed-Upon Procedures</w:t>
      </w:r>
    </w:p>
    <w:p w14:paraId="0DF2C1CD" w14:textId="77777777" w:rsidR="00760715" w:rsidRDefault="00760715">
      <w:p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Each report shall include:</w:t>
      </w:r>
    </w:p>
    <w:p w14:paraId="35019995" w14:textId="77777777" w:rsidR="000400C4" w:rsidRDefault="000400C4">
      <w:p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196DC73E" w14:textId="77777777" w:rsidR="00760715" w:rsidRDefault="00760715" w:rsidP="003F0B6E">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An Independent Accountant’s </w:t>
      </w:r>
      <w:r w:rsidR="00D244A4">
        <w:rPr>
          <w:rFonts w:ascii="Arial" w:hAnsi="Arial"/>
          <w:color w:val="000000"/>
          <w:sz w:val="22"/>
        </w:rPr>
        <w:t>Report on</w:t>
      </w:r>
      <w:r w:rsidR="00070479">
        <w:rPr>
          <w:rFonts w:ascii="Arial" w:hAnsi="Arial"/>
          <w:color w:val="000000"/>
          <w:sz w:val="22"/>
        </w:rPr>
        <w:t xml:space="preserve"> Applying Agreed-Upon Procedures</w:t>
      </w:r>
      <w:r w:rsidR="000400C4">
        <w:rPr>
          <w:rFonts w:ascii="Arial" w:hAnsi="Arial"/>
          <w:color w:val="000000"/>
          <w:sz w:val="22"/>
        </w:rPr>
        <w:t>.</w:t>
      </w:r>
    </w:p>
    <w:p w14:paraId="23814E65" w14:textId="094DDDC3" w:rsidR="001770B5" w:rsidRDefault="00690DAD" w:rsidP="003F0B6E">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A summary schedule of </w:t>
      </w:r>
      <w:r w:rsidR="000400C4">
        <w:rPr>
          <w:rFonts w:ascii="Arial" w:hAnsi="Arial"/>
          <w:color w:val="000000"/>
          <w:sz w:val="22"/>
        </w:rPr>
        <w:t>exceptions</w:t>
      </w:r>
      <w:r w:rsidR="00BD0E2F">
        <w:rPr>
          <w:rFonts w:ascii="Arial" w:hAnsi="Arial"/>
          <w:color w:val="000000"/>
          <w:sz w:val="22"/>
        </w:rPr>
        <w:t xml:space="preserve"> or</w:t>
      </w:r>
      <w:r w:rsidR="001770B5">
        <w:rPr>
          <w:rFonts w:ascii="Arial" w:hAnsi="Arial"/>
          <w:color w:val="000000"/>
          <w:sz w:val="22"/>
        </w:rPr>
        <w:t xml:space="preserve"> a statement that there </w:t>
      </w:r>
      <w:r w:rsidR="00070479">
        <w:rPr>
          <w:rFonts w:ascii="Arial" w:hAnsi="Arial"/>
          <w:color w:val="000000"/>
          <w:sz w:val="22"/>
        </w:rPr>
        <w:t>are</w:t>
      </w:r>
      <w:r w:rsidR="00BD0E2F">
        <w:rPr>
          <w:rFonts w:ascii="Arial" w:hAnsi="Arial"/>
          <w:color w:val="000000"/>
          <w:sz w:val="22"/>
        </w:rPr>
        <w:t xml:space="preserve"> </w:t>
      </w:r>
      <w:r w:rsidR="00AE462D">
        <w:rPr>
          <w:rFonts w:ascii="Arial" w:hAnsi="Arial"/>
          <w:color w:val="000000"/>
          <w:sz w:val="22"/>
        </w:rPr>
        <w:t xml:space="preserve">no </w:t>
      </w:r>
      <w:r w:rsidR="000400C4">
        <w:rPr>
          <w:rFonts w:ascii="Arial" w:hAnsi="Arial"/>
          <w:color w:val="000000"/>
          <w:sz w:val="22"/>
        </w:rPr>
        <w:t>exceptions</w:t>
      </w:r>
      <w:r w:rsidR="00070479">
        <w:rPr>
          <w:rFonts w:ascii="Arial" w:hAnsi="Arial"/>
          <w:color w:val="000000"/>
          <w:sz w:val="22"/>
        </w:rPr>
        <w:t xml:space="preserve"> to report</w:t>
      </w:r>
      <w:r w:rsidR="001770B5">
        <w:rPr>
          <w:rFonts w:ascii="Arial" w:hAnsi="Arial"/>
          <w:color w:val="000000"/>
          <w:sz w:val="22"/>
        </w:rPr>
        <w:t>.</w:t>
      </w:r>
    </w:p>
    <w:p w14:paraId="32A94D5D" w14:textId="77777777" w:rsidR="00070479" w:rsidRDefault="00070479" w:rsidP="003F0B6E">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A management letter, if applicable, detailing the following items if detected by the ICPA:  internal control deficiencies, fraud, illegal acts, violations of provisions of contracts or grant agreements, or abuse that is not material to the agreed-upon procedures.</w:t>
      </w:r>
    </w:p>
    <w:p w14:paraId="2409A601" w14:textId="5E6264B6" w:rsidR="00070479" w:rsidRPr="00A97739" w:rsidRDefault="00070479" w:rsidP="003F0B6E">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A summary schedule of prior</w:t>
      </w:r>
      <w:r w:rsidR="00296DCA">
        <w:rPr>
          <w:rFonts w:ascii="Arial" w:hAnsi="Arial"/>
          <w:color w:val="000000"/>
          <w:sz w:val="22"/>
        </w:rPr>
        <w:t xml:space="preserve"> </w:t>
      </w:r>
      <w:r w:rsidR="000400C4">
        <w:rPr>
          <w:rFonts w:ascii="Arial" w:hAnsi="Arial"/>
          <w:color w:val="000000"/>
          <w:sz w:val="22"/>
        </w:rPr>
        <w:t>exceptions</w:t>
      </w:r>
      <w:r>
        <w:rPr>
          <w:rFonts w:ascii="Arial" w:hAnsi="Arial"/>
          <w:color w:val="000000"/>
          <w:sz w:val="22"/>
        </w:rPr>
        <w:t xml:space="preserve"> or a statement that there were no prior </w:t>
      </w:r>
      <w:r w:rsidR="000400C4">
        <w:rPr>
          <w:rFonts w:ascii="Arial" w:hAnsi="Arial"/>
          <w:color w:val="000000"/>
          <w:sz w:val="22"/>
        </w:rPr>
        <w:t>exceptions</w:t>
      </w:r>
      <w:r>
        <w:rPr>
          <w:rFonts w:ascii="Arial" w:hAnsi="Arial"/>
          <w:color w:val="000000"/>
          <w:sz w:val="22"/>
        </w:rPr>
        <w:t>.</w:t>
      </w:r>
    </w:p>
    <w:p w14:paraId="21323734" w14:textId="492E2745" w:rsidR="001770B5" w:rsidRDefault="001770B5" w:rsidP="003F0B6E">
      <w:pPr>
        <w:numPr>
          <w:ilvl w:val="0"/>
          <w:numId w:val="17"/>
        </w:numPr>
        <w:tabs>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Management’s corrective action plan</w:t>
      </w:r>
      <w:r w:rsidR="00BD0E2F">
        <w:rPr>
          <w:rFonts w:ascii="Arial" w:hAnsi="Arial"/>
          <w:color w:val="000000"/>
          <w:sz w:val="22"/>
        </w:rPr>
        <w:t xml:space="preserve"> (prepared by the agency)</w:t>
      </w:r>
      <w:r>
        <w:rPr>
          <w:rFonts w:ascii="Arial" w:hAnsi="Arial"/>
          <w:color w:val="000000"/>
          <w:sz w:val="22"/>
        </w:rPr>
        <w:t xml:space="preserve">.  The plan should address each </w:t>
      </w:r>
      <w:r w:rsidR="000400C4">
        <w:rPr>
          <w:rFonts w:ascii="Arial" w:hAnsi="Arial"/>
          <w:color w:val="000000"/>
          <w:sz w:val="22"/>
        </w:rPr>
        <w:t>exception</w:t>
      </w:r>
      <w:r>
        <w:rPr>
          <w:rFonts w:ascii="Arial" w:hAnsi="Arial"/>
          <w:color w:val="000000"/>
          <w:sz w:val="22"/>
        </w:rPr>
        <w:t xml:space="preserve"> and comment included in the current year report.  If the agency fails to provide a corrective action plan, the report shall include a statement that </w:t>
      </w:r>
      <w:r w:rsidR="00BD0E2F">
        <w:rPr>
          <w:rFonts w:ascii="Arial" w:hAnsi="Arial"/>
          <w:color w:val="000000"/>
          <w:sz w:val="22"/>
        </w:rPr>
        <w:t>agency</w:t>
      </w:r>
      <w:r>
        <w:rPr>
          <w:rFonts w:ascii="Arial" w:hAnsi="Arial"/>
          <w:color w:val="000000"/>
          <w:sz w:val="22"/>
        </w:rPr>
        <w:t xml:space="preserve"> failed to respond to the</w:t>
      </w:r>
      <w:r w:rsidR="00296DCA">
        <w:rPr>
          <w:rFonts w:ascii="Arial" w:hAnsi="Arial"/>
          <w:color w:val="000000"/>
          <w:sz w:val="22"/>
        </w:rPr>
        <w:t xml:space="preserve"> </w:t>
      </w:r>
      <w:r w:rsidR="000400C4">
        <w:rPr>
          <w:rFonts w:ascii="Arial" w:hAnsi="Arial"/>
          <w:color w:val="000000"/>
          <w:sz w:val="22"/>
        </w:rPr>
        <w:t>exceptions</w:t>
      </w:r>
      <w:r>
        <w:rPr>
          <w:rFonts w:ascii="Arial" w:hAnsi="Arial"/>
          <w:color w:val="000000"/>
          <w:sz w:val="22"/>
        </w:rPr>
        <w:t xml:space="preserve"> and comments.</w:t>
      </w:r>
    </w:p>
    <w:p w14:paraId="1E7C7A45" w14:textId="77777777" w:rsidR="002D07FF" w:rsidRDefault="002D07F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286B5B45" w14:textId="77777777" w:rsidR="008E6F56" w:rsidRPr="00C856B1"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C856B1">
        <w:rPr>
          <w:rFonts w:ascii="Arial" w:hAnsi="Arial"/>
          <w:b/>
          <w:color w:val="000000"/>
          <w:sz w:val="22"/>
        </w:rPr>
        <w:t>Report Distribution</w:t>
      </w:r>
    </w:p>
    <w:p w14:paraId="3999345E" w14:textId="77777777" w:rsidR="008E6F56" w:rsidRDefault="008E6F56" w:rsidP="003F0B6E">
      <w:pPr>
        <w:pStyle w:val="BodyText"/>
        <w:rPr>
          <w:rFonts w:ascii="Arial" w:hAnsi="Arial"/>
          <w:sz w:val="22"/>
        </w:rPr>
      </w:pPr>
      <w:r>
        <w:rPr>
          <w:rFonts w:ascii="Arial" w:hAnsi="Arial"/>
          <w:sz w:val="22"/>
        </w:rPr>
        <w:t xml:space="preserve">Unless otherwise specified in the </w:t>
      </w:r>
      <w:r w:rsidR="00133884">
        <w:rPr>
          <w:rFonts w:ascii="Arial" w:hAnsi="Arial"/>
          <w:sz w:val="22"/>
        </w:rPr>
        <w:t>agency specific information</w:t>
      </w:r>
      <w:r w:rsidR="00BD0E2F">
        <w:rPr>
          <w:rFonts w:ascii="Arial" w:hAnsi="Arial"/>
          <w:sz w:val="22"/>
        </w:rPr>
        <w:t>,</w:t>
      </w:r>
      <w:r>
        <w:rPr>
          <w:rFonts w:ascii="Arial" w:hAnsi="Arial"/>
          <w:sz w:val="22"/>
        </w:rPr>
        <w:t xml:space="preserve"> at the conclusion of the </w:t>
      </w:r>
      <w:r w:rsidR="00133884">
        <w:rPr>
          <w:rFonts w:ascii="Arial" w:hAnsi="Arial"/>
          <w:sz w:val="22"/>
        </w:rPr>
        <w:t>engagement</w:t>
      </w:r>
      <w:r>
        <w:rPr>
          <w:rFonts w:ascii="Arial" w:hAnsi="Arial"/>
          <w:sz w:val="22"/>
        </w:rPr>
        <w:t>, the ICPA will immediately send:</w:t>
      </w:r>
    </w:p>
    <w:p w14:paraId="457ACCDF" w14:textId="19B5A598" w:rsidR="008E6F56" w:rsidRPr="00893721" w:rsidRDefault="00860D99"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On</w:t>
      </w:r>
      <w:r w:rsidR="008E6F56" w:rsidRPr="00860D99">
        <w:rPr>
          <w:rFonts w:ascii="Arial" w:hAnsi="Arial"/>
          <w:color w:val="000000"/>
          <w:sz w:val="22"/>
        </w:rPr>
        <w:t xml:space="preserve">e </w:t>
      </w:r>
      <w:r w:rsidR="008E6F56" w:rsidRPr="00893721">
        <w:rPr>
          <w:rFonts w:ascii="Arial" w:hAnsi="Arial"/>
          <w:color w:val="000000"/>
          <w:sz w:val="22"/>
        </w:rPr>
        <w:t xml:space="preserve">graphical file of the report </w:t>
      </w:r>
      <w:r w:rsidR="00EA5C4A" w:rsidRPr="00893721">
        <w:rPr>
          <w:rFonts w:ascii="Arial" w:hAnsi="Arial"/>
          <w:color w:val="000000"/>
          <w:sz w:val="22"/>
        </w:rPr>
        <w:t>to the legislative auditor</w:t>
      </w:r>
      <w:r w:rsidR="008E6F56" w:rsidRPr="00893721">
        <w:rPr>
          <w:rFonts w:ascii="Arial" w:hAnsi="Arial"/>
          <w:color w:val="000000"/>
          <w:sz w:val="22"/>
        </w:rPr>
        <w:t xml:space="preserve">.  The </w:t>
      </w:r>
      <w:r w:rsidR="00893721">
        <w:rPr>
          <w:rFonts w:ascii="Arial" w:hAnsi="Arial"/>
          <w:color w:val="000000"/>
          <w:sz w:val="22"/>
        </w:rPr>
        <w:t>report file shall include any management letter, as well as management’s corrective action plan.  The g</w:t>
      </w:r>
      <w:r w:rsidR="008E6F56" w:rsidRPr="00893721">
        <w:rPr>
          <w:rFonts w:ascii="Arial" w:hAnsi="Arial"/>
          <w:color w:val="000000"/>
          <w:sz w:val="22"/>
        </w:rPr>
        <w:t>raphical file</w:t>
      </w:r>
      <w:r w:rsidR="00893721">
        <w:rPr>
          <w:rFonts w:ascii="Arial" w:hAnsi="Arial"/>
          <w:color w:val="000000"/>
          <w:sz w:val="22"/>
        </w:rPr>
        <w:t xml:space="preserve">s shall be created in </w:t>
      </w:r>
      <w:r w:rsidR="000400C4">
        <w:rPr>
          <w:rFonts w:ascii="Arial" w:hAnsi="Arial"/>
          <w:color w:val="000000"/>
          <w:sz w:val="22"/>
        </w:rPr>
        <w:t xml:space="preserve">PDF </w:t>
      </w:r>
      <w:r w:rsidR="008E6F56" w:rsidRPr="00893721">
        <w:rPr>
          <w:rFonts w:ascii="Arial" w:hAnsi="Arial"/>
          <w:color w:val="000000"/>
          <w:sz w:val="22"/>
        </w:rPr>
        <w:t>format</w:t>
      </w:r>
      <w:r w:rsidR="00893721">
        <w:rPr>
          <w:rFonts w:ascii="Arial" w:hAnsi="Arial"/>
          <w:color w:val="000000"/>
          <w:sz w:val="22"/>
        </w:rPr>
        <w:t xml:space="preserve"> and submitted electronically through the </w:t>
      </w:r>
      <w:r w:rsidR="000400C4" w:rsidRPr="000400C4">
        <w:rPr>
          <w:rFonts w:ascii="Arial" w:hAnsi="Arial"/>
          <w:color w:val="000000"/>
          <w:sz w:val="22"/>
        </w:rPr>
        <w:t>Louisiana Legislative Auditor's Local Government Reporting System</w:t>
      </w:r>
      <w:r w:rsidR="00893721">
        <w:rPr>
          <w:rFonts w:ascii="Arial" w:hAnsi="Arial"/>
          <w:color w:val="000000"/>
          <w:sz w:val="22"/>
        </w:rPr>
        <w:t xml:space="preserve">: </w:t>
      </w:r>
      <w:hyperlink r:id="rId11" w:history="1">
        <w:r w:rsidR="00893721" w:rsidRPr="00724B88">
          <w:rPr>
            <w:rStyle w:val="Hyperlink"/>
            <w:rFonts w:ascii="Arial" w:hAnsi="Arial"/>
            <w:sz w:val="22"/>
          </w:rPr>
          <w:t>http://app.lla.state.la.us/ewsdataentry.nsf</w:t>
        </w:r>
      </w:hyperlink>
      <w:r w:rsidR="008E6F56" w:rsidRPr="00893721">
        <w:rPr>
          <w:rFonts w:ascii="Arial" w:hAnsi="Arial"/>
          <w:color w:val="000000"/>
          <w:sz w:val="22"/>
        </w:rPr>
        <w:t xml:space="preserve">. </w:t>
      </w:r>
    </w:p>
    <w:p w14:paraId="13124EDF"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A copy of the report to each board member, when there is an oversight board.</w:t>
      </w:r>
    </w:p>
    <w:p w14:paraId="40687BE8"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A copy of the report to any legislative oversight committee.</w:t>
      </w:r>
    </w:p>
    <w:p w14:paraId="03664448"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Ten copies of the report to management of the agency.</w:t>
      </w:r>
    </w:p>
    <w:p w14:paraId="05563F33"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 xml:space="preserve">Appropriate distribution required by </w:t>
      </w:r>
      <w:r w:rsidR="00030102">
        <w:rPr>
          <w:rFonts w:ascii="Arial" w:hAnsi="Arial"/>
          <w:color w:val="000000"/>
          <w:sz w:val="22"/>
        </w:rPr>
        <w:t>Uniform Guidance (2 CFR 200.512)</w:t>
      </w:r>
      <w:r w:rsidR="00133884">
        <w:rPr>
          <w:rFonts w:ascii="Arial" w:hAnsi="Arial"/>
          <w:color w:val="000000"/>
          <w:sz w:val="22"/>
        </w:rPr>
        <w:t>, when applicable</w:t>
      </w:r>
      <w:r>
        <w:rPr>
          <w:rFonts w:ascii="Arial" w:hAnsi="Arial"/>
          <w:color w:val="000000"/>
          <w:sz w:val="22"/>
        </w:rPr>
        <w:t>.</w:t>
      </w:r>
    </w:p>
    <w:p w14:paraId="58C32E1D"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A copy of the report to each state agency providing monies to the agency.</w:t>
      </w:r>
    </w:p>
    <w:p w14:paraId="52CCFD47"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A copy of the report to any state agency exercising oversight responsibilities.</w:t>
      </w:r>
    </w:p>
    <w:p w14:paraId="1D1D7878" w14:textId="77777777" w:rsidR="00DB48E3" w:rsidRDefault="00DB48E3">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p>
    <w:p w14:paraId="0EA347BF" w14:textId="77777777" w:rsidR="008E6F56" w:rsidRDefault="00133884">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b/>
          <w:color w:val="000000"/>
          <w:sz w:val="22"/>
        </w:rPr>
        <w:lastRenderedPageBreak/>
        <w:t>Engagement</w:t>
      </w:r>
      <w:r w:rsidR="008E6F56">
        <w:rPr>
          <w:rFonts w:ascii="Arial" w:hAnsi="Arial"/>
          <w:b/>
          <w:color w:val="000000"/>
          <w:sz w:val="22"/>
        </w:rPr>
        <w:t xml:space="preserve"> Documentation</w:t>
      </w:r>
    </w:p>
    <w:p w14:paraId="29042E0C"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All </w:t>
      </w:r>
      <w:r w:rsidR="00133884">
        <w:rPr>
          <w:rFonts w:ascii="Arial" w:hAnsi="Arial"/>
          <w:color w:val="000000"/>
          <w:sz w:val="22"/>
        </w:rPr>
        <w:t>engagement</w:t>
      </w:r>
      <w:r>
        <w:rPr>
          <w:rFonts w:ascii="Arial" w:hAnsi="Arial"/>
          <w:color w:val="000000"/>
          <w:sz w:val="22"/>
        </w:rPr>
        <w:t xml:space="preserve"> documentation (working papers and all correspondence relating to the </w:t>
      </w:r>
      <w:r w:rsidR="00133884">
        <w:rPr>
          <w:rFonts w:ascii="Arial" w:hAnsi="Arial"/>
          <w:color w:val="000000"/>
          <w:sz w:val="22"/>
        </w:rPr>
        <w:t>engagement</w:t>
      </w:r>
      <w:r>
        <w:rPr>
          <w:rFonts w:ascii="Arial" w:hAnsi="Arial"/>
          <w:color w:val="000000"/>
          <w:sz w:val="22"/>
        </w:rPr>
        <w:t>) shall b</w:t>
      </w:r>
      <w:r w:rsidR="00AA43AD">
        <w:rPr>
          <w:rFonts w:ascii="Arial" w:hAnsi="Arial"/>
          <w:color w:val="000000"/>
          <w:sz w:val="22"/>
        </w:rPr>
        <w:t>e retained for a period of five</w:t>
      </w:r>
      <w:r>
        <w:rPr>
          <w:rFonts w:ascii="Arial" w:hAnsi="Arial"/>
          <w:color w:val="000000"/>
          <w:sz w:val="22"/>
        </w:rPr>
        <w:t xml:space="preserve"> years from the date of the report, unless the ICPA is notified in writing by the legislative auditor or cognizant agency to extend the retention period.  All of the documentation shall be available for inspection by the legislative auditor, any successor or principal auditor</w:t>
      </w:r>
      <w:r w:rsidR="00133884">
        <w:rPr>
          <w:rFonts w:ascii="Arial" w:hAnsi="Arial"/>
          <w:color w:val="000000"/>
          <w:sz w:val="22"/>
        </w:rPr>
        <w:t>/accountant</w:t>
      </w:r>
      <w:r>
        <w:rPr>
          <w:rFonts w:ascii="Arial" w:hAnsi="Arial"/>
          <w:color w:val="000000"/>
          <w:sz w:val="22"/>
        </w:rPr>
        <w:t>, the Louisiana State Board of CPAs, or any other agency recognized within the State of Louisiana to provide a quality assurance function.</w:t>
      </w:r>
      <w:r w:rsidR="006E1546">
        <w:rPr>
          <w:rFonts w:ascii="Arial" w:hAnsi="Arial"/>
          <w:color w:val="000000"/>
          <w:sz w:val="22"/>
          <w:szCs w:val="22"/>
        </w:rPr>
        <w:t xml:space="preserve">  </w:t>
      </w:r>
      <w:r w:rsidR="00FC642A" w:rsidRPr="009A44B1">
        <w:rPr>
          <w:rFonts w:ascii="Arial" w:hAnsi="Arial"/>
          <w:sz w:val="22"/>
          <w:szCs w:val="22"/>
        </w:rPr>
        <w:t xml:space="preserve">The </w:t>
      </w:r>
      <w:r w:rsidR="006E1546">
        <w:rPr>
          <w:rFonts w:ascii="Arial" w:hAnsi="Arial"/>
          <w:sz w:val="22"/>
          <w:szCs w:val="22"/>
        </w:rPr>
        <w:t>I</w:t>
      </w:r>
      <w:r w:rsidR="00FC642A" w:rsidRPr="009A44B1">
        <w:rPr>
          <w:rFonts w:ascii="Arial" w:hAnsi="Arial"/>
          <w:sz w:val="22"/>
          <w:szCs w:val="22"/>
        </w:rPr>
        <w:t>CPA must contact and obtain</w:t>
      </w:r>
      <w:r w:rsidR="006E1546">
        <w:rPr>
          <w:rFonts w:ascii="Arial" w:hAnsi="Arial"/>
          <w:sz w:val="22"/>
          <w:szCs w:val="22"/>
        </w:rPr>
        <w:t xml:space="preserve"> the express permission of the legislative a</w:t>
      </w:r>
      <w:r w:rsidR="00FC642A" w:rsidRPr="009A44B1">
        <w:rPr>
          <w:rFonts w:ascii="Arial" w:hAnsi="Arial"/>
          <w:sz w:val="22"/>
          <w:szCs w:val="22"/>
        </w:rPr>
        <w:t>uditor prior to giving access to engagement documentation to any parties other than those previously named individuals and organizations.</w:t>
      </w:r>
      <w:r w:rsidR="006E1546">
        <w:rPr>
          <w:rFonts w:ascii="Arial" w:hAnsi="Arial"/>
          <w:sz w:val="22"/>
          <w:szCs w:val="22"/>
        </w:rPr>
        <w:t xml:space="preserve">  </w:t>
      </w:r>
      <w:r>
        <w:rPr>
          <w:rFonts w:ascii="Arial" w:hAnsi="Arial"/>
          <w:color w:val="000000"/>
          <w:sz w:val="22"/>
        </w:rPr>
        <w:t>All of the documentation will be provided by the predecessor auditor</w:t>
      </w:r>
      <w:r w:rsidR="00133884">
        <w:rPr>
          <w:rFonts w:ascii="Arial" w:hAnsi="Arial"/>
          <w:color w:val="000000"/>
          <w:sz w:val="22"/>
        </w:rPr>
        <w:t>/accountant</w:t>
      </w:r>
      <w:r>
        <w:rPr>
          <w:rFonts w:ascii="Arial" w:hAnsi="Arial"/>
          <w:color w:val="000000"/>
          <w:sz w:val="22"/>
        </w:rPr>
        <w:t xml:space="preserve"> to the successor auditor</w:t>
      </w:r>
      <w:r w:rsidR="00133884">
        <w:rPr>
          <w:rFonts w:ascii="Arial" w:hAnsi="Arial"/>
          <w:color w:val="000000"/>
          <w:sz w:val="22"/>
        </w:rPr>
        <w:t>/accountant</w:t>
      </w:r>
      <w:r>
        <w:rPr>
          <w:rFonts w:ascii="Arial" w:hAnsi="Arial"/>
          <w:color w:val="000000"/>
          <w:sz w:val="22"/>
        </w:rPr>
        <w:t xml:space="preserve"> at a cost of no more than $.20 per copy, with no further fees assessed.</w:t>
      </w:r>
    </w:p>
    <w:p w14:paraId="20675D06"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386880C7" w14:textId="77777777"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Any ICPA that participates in the SFP process shall:</w:t>
      </w:r>
    </w:p>
    <w:p w14:paraId="1C2124B7"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 xml:space="preserve">As required under professional standards, answer specific inquiries of a potential proposer when those inquiries may affect the </w:t>
      </w:r>
      <w:r w:rsidR="00133884">
        <w:rPr>
          <w:rFonts w:ascii="Arial" w:hAnsi="Arial"/>
          <w:color w:val="000000"/>
          <w:sz w:val="22"/>
        </w:rPr>
        <w:t>proposer</w:t>
      </w:r>
      <w:r>
        <w:rPr>
          <w:rFonts w:ascii="Arial" w:hAnsi="Arial"/>
          <w:color w:val="000000"/>
          <w:sz w:val="22"/>
        </w:rPr>
        <w:t>'s client acceptance decision.</w:t>
      </w:r>
    </w:p>
    <w:p w14:paraId="3E8A52D4" w14:textId="77777777" w:rsidR="008E6F56" w:rsidRDefault="008E6F56">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Upon award of a contract creating a predecessor/successor relationship, the predecessor auditor</w:t>
      </w:r>
      <w:r w:rsidR="00EB40B3">
        <w:rPr>
          <w:rFonts w:ascii="Arial" w:hAnsi="Arial"/>
          <w:color w:val="000000"/>
          <w:sz w:val="22"/>
        </w:rPr>
        <w:t>/accountant</w:t>
      </w:r>
      <w:r>
        <w:rPr>
          <w:rFonts w:ascii="Arial" w:hAnsi="Arial"/>
          <w:color w:val="000000"/>
          <w:sz w:val="22"/>
        </w:rPr>
        <w:t xml:space="preserve"> shall provide responses to the inquiries required by professional standards.  The predecessor auditor</w:t>
      </w:r>
      <w:r w:rsidR="00EB40B3">
        <w:rPr>
          <w:rFonts w:ascii="Arial" w:hAnsi="Arial"/>
          <w:color w:val="000000"/>
          <w:sz w:val="22"/>
        </w:rPr>
        <w:t>/accountant</w:t>
      </w:r>
      <w:r>
        <w:rPr>
          <w:rFonts w:ascii="Arial" w:hAnsi="Arial"/>
          <w:color w:val="000000"/>
          <w:sz w:val="22"/>
        </w:rPr>
        <w:t xml:space="preserve"> shall make all of the documentation available for review and for copying.  This access shall be granted at a mutually convenient time and location, but shall occur within 10 working days of the request.  This access includes trial balances, adjusting journal entries, analyses of balance sheet accounts (both current and noncurrent and those relating to contingencies), documentation of the predecessor’s understanding of the internal control, documentation of a permanent nature, such as bond amortization schedules and operating and capital leases, and documentation that supports the summary of significant accounting policies.</w:t>
      </w:r>
    </w:p>
    <w:p w14:paraId="5B985A64"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7ED0A430"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Any predecessor auditor</w:t>
      </w:r>
      <w:r w:rsidR="00EB40B3">
        <w:rPr>
          <w:rFonts w:ascii="Arial" w:hAnsi="Arial"/>
          <w:color w:val="000000"/>
          <w:sz w:val="22"/>
        </w:rPr>
        <w:t>/accountant</w:t>
      </w:r>
      <w:r>
        <w:rPr>
          <w:rFonts w:ascii="Arial" w:hAnsi="Arial"/>
          <w:color w:val="000000"/>
          <w:sz w:val="22"/>
        </w:rPr>
        <w:t xml:space="preserve"> that fails to make the </w:t>
      </w:r>
      <w:r w:rsidR="00EB40B3">
        <w:rPr>
          <w:rFonts w:ascii="Arial" w:hAnsi="Arial"/>
          <w:color w:val="000000"/>
          <w:sz w:val="22"/>
        </w:rPr>
        <w:t>engagement</w:t>
      </w:r>
      <w:r>
        <w:rPr>
          <w:rFonts w:ascii="Arial" w:hAnsi="Arial"/>
          <w:color w:val="000000"/>
          <w:sz w:val="22"/>
        </w:rPr>
        <w:t xml:space="preserve"> documentation available for successor auditor</w:t>
      </w:r>
      <w:r w:rsidR="00EB40B3">
        <w:rPr>
          <w:rFonts w:ascii="Arial" w:hAnsi="Arial"/>
          <w:color w:val="000000"/>
          <w:sz w:val="22"/>
        </w:rPr>
        <w:t>/accountant</w:t>
      </w:r>
      <w:r>
        <w:rPr>
          <w:rFonts w:ascii="Arial" w:hAnsi="Arial"/>
          <w:color w:val="000000"/>
          <w:sz w:val="22"/>
        </w:rPr>
        <w:t xml:space="preserve"> inspection and copying under rules of the legislative auditor shall be prohibited from participating in the SFP process.</w:t>
      </w:r>
    </w:p>
    <w:p w14:paraId="4F7AFE36" w14:textId="77777777" w:rsidR="000E318F" w:rsidRDefault="000E318F">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3C773F2D"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b/>
          <w:color w:val="000000"/>
          <w:sz w:val="22"/>
        </w:rPr>
        <w:t>Special Conditions</w:t>
      </w:r>
    </w:p>
    <w:p w14:paraId="45BF67DB" w14:textId="77777777"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following special conditions are required to be a part of the </w:t>
      </w:r>
      <w:r w:rsidR="002967E5">
        <w:rPr>
          <w:rFonts w:ascii="Arial" w:hAnsi="Arial"/>
          <w:color w:val="000000"/>
          <w:sz w:val="22"/>
        </w:rPr>
        <w:t>proposal</w:t>
      </w:r>
      <w:r>
        <w:rPr>
          <w:rFonts w:ascii="Arial" w:hAnsi="Arial"/>
          <w:color w:val="000000"/>
          <w:sz w:val="22"/>
        </w:rPr>
        <w:t>:</w:t>
      </w:r>
    </w:p>
    <w:p w14:paraId="5B001379"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 xml:space="preserve">The ICPA will notify the legislative auditor immediately, in writing, if there is any limitation on the scope of </w:t>
      </w:r>
      <w:r w:rsidR="002967E5">
        <w:rPr>
          <w:rFonts w:ascii="Arial" w:hAnsi="Arial"/>
          <w:color w:val="000000"/>
          <w:sz w:val="22"/>
        </w:rPr>
        <w:t>the</w:t>
      </w:r>
      <w:r>
        <w:rPr>
          <w:rFonts w:ascii="Arial" w:hAnsi="Arial"/>
          <w:color w:val="000000"/>
          <w:sz w:val="22"/>
        </w:rPr>
        <w:t xml:space="preserve"> </w:t>
      </w:r>
      <w:r w:rsidR="00EB40B3">
        <w:rPr>
          <w:rFonts w:ascii="Arial" w:hAnsi="Arial"/>
          <w:color w:val="000000"/>
          <w:sz w:val="22"/>
        </w:rPr>
        <w:t>engagement</w:t>
      </w:r>
      <w:r>
        <w:rPr>
          <w:rFonts w:ascii="Arial" w:hAnsi="Arial"/>
          <w:color w:val="000000"/>
          <w:sz w:val="22"/>
        </w:rPr>
        <w:t>, to include denial of access to books and records or failure to provide the same in a timely manner.</w:t>
      </w:r>
    </w:p>
    <w:p w14:paraId="2CF7FDC6"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The ICPA will notify the legislative auditor immediately, in writing, if the ICPA firm decides to withdraw from the engagement.  As a part of the notification, the ICPA will describe in detail the reasons leading to the withdrawal.</w:t>
      </w:r>
    </w:p>
    <w:p w14:paraId="40CF4F39"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The ICPA will notify the legislative auditor immediately, in writing, if any illegal or fraudulent acts are detected.</w:t>
      </w:r>
    </w:p>
    <w:p w14:paraId="6C1F23AF"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 xml:space="preserve">The ICPA will notify the legislative auditor immediately, in writing, if the ICPA will be unable to complete an </w:t>
      </w:r>
      <w:r w:rsidR="00EB40B3">
        <w:rPr>
          <w:rFonts w:ascii="Arial" w:hAnsi="Arial"/>
          <w:color w:val="000000"/>
          <w:sz w:val="22"/>
        </w:rPr>
        <w:t>engagement</w:t>
      </w:r>
      <w:r>
        <w:rPr>
          <w:rFonts w:ascii="Arial" w:hAnsi="Arial"/>
          <w:color w:val="000000"/>
          <w:sz w:val="22"/>
        </w:rPr>
        <w:t xml:space="preserve"> within the required time.  As part of the notification, the ICPA will provide all substantive reasons for the delay and an estimate of the revised completion date.</w:t>
      </w:r>
    </w:p>
    <w:p w14:paraId="01A8D296"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 xml:space="preserve">The ICPA will notify the legislative auditor and state agency being </w:t>
      </w:r>
      <w:r w:rsidR="00EB40B3">
        <w:rPr>
          <w:rFonts w:ascii="Arial" w:hAnsi="Arial"/>
          <w:color w:val="000000"/>
          <w:sz w:val="22"/>
        </w:rPr>
        <w:t>examined</w:t>
      </w:r>
      <w:r>
        <w:rPr>
          <w:rFonts w:ascii="Arial" w:hAnsi="Arial"/>
          <w:color w:val="000000"/>
          <w:sz w:val="22"/>
        </w:rPr>
        <w:t xml:space="preserve"> immediately, in writing, if the ICPA encounters circumstances that make it necessary for the ICPA to perform added work beyond the scope originally anticipated, before beginning such work.  As part of the notification, the ICPA will provide an estimate of the number of additional hours and the resulting fee.</w:t>
      </w:r>
    </w:p>
    <w:p w14:paraId="44A36815"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lastRenderedPageBreak/>
        <w:t>Should the ICPA decide to reissue the report, the legislative auditor must be notified immediately and the reissued report should be distributed in the same manner as the original report.</w:t>
      </w:r>
    </w:p>
    <w:p w14:paraId="4BDCD22F"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No additional services will be performed for the state agency unless otherwise approved by the legislative auditor.</w:t>
      </w:r>
      <w:r w:rsidR="009F256B">
        <w:rPr>
          <w:rFonts w:ascii="Arial" w:hAnsi="Arial"/>
          <w:color w:val="000000"/>
          <w:sz w:val="22"/>
        </w:rPr>
        <w:t xml:space="preserve"> </w:t>
      </w:r>
      <w:r w:rsidR="00EB40B3">
        <w:rPr>
          <w:rFonts w:ascii="Arial" w:hAnsi="Arial"/>
          <w:color w:val="000000"/>
          <w:sz w:val="22"/>
        </w:rPr>
        <w:t xml:space="preserve"> </w:t>
      </w:r>
    </w:p>
    <w:p w14:paraId="7178313C" w14:textId="3A6DFA71" w:rsidR="00F225F4" w:rsidRDefault="008E6F56">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The legislative auditor reserves the right to terminate the engagement contract at any time.</w:t>
      </w:r>
    </w:p>
    <w:p w14:paraId="282D8EC1" w14:textId="5D9229FE" w:rsidR="00237028" w:rsidRDefault="00237028">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sidRPr="00237028">
        <w:rPr>
          <w:rFonts w:ascii="Arial" w:hAnsi="Arial"/>
          <w:color w:val="000000"/>
          <w:sz w:val="22"/>
        </w:rPr>
        <w:t xml:space="preserve">The ICPA </w:t>
      </w:r>
      <w:r>
        <w:rPr>
          <w:rFonts w:ascii="Arial" w:hAnsi="Arial"/>
          <w:color w:val="000000"/>
          <w:sz w:val="22"/>
        </w:rPr>
        <w:t xml:space="preserve">will </w:t>
      </w:r>
      <w:r w:rsidR="00962B45">
        <w:rPr>
          <w:rFonts w:ascii="Arial" w:hAnsi="Arial"/>
          <w:color w:val="000000"/>
          <w:sz w:val="22"/>
        </w:rPr>
        <w:t xml:space="preserve">promptly </w:t>
      </w:r>
      <w:r>
        <w:rPr>
          <w:rFonts w:ascii="Arial" w:hAnsi="Arial"/>
          <w:color w:val="000000"/>
          <w:sz w:val="22"/>
        </w:rPr>
        <w:t>notify</w:t>
      </w:r>
      <w:r w:rsidRPr="00237028">
        <w:rPr>
          <w:rFonts w:ascii="Arial" w:hAnsi="Arial"/>
          <w:color w:val="000000"/>
          <w:sz w:val="22"/>
        </w:rPr>
        <w:t xml:space="preserve"> </w:t>
      </w:r>
      <w:r>
        <w:rPr>
          <w:rFonts w:ascii="Arial" w:hAnsi="Arial"/>
          <w:color w:val="000000"/>
          <w:sz w:val="22"/>
        </w:rPr>
        <w:t xml:space="preserve">the </w:t>
      </w:r>
      <w:r w:rsidR="00962B45">
        <w:rPr>
          <w:rFonts w:ascii="Arial" w:hAnsi="Arial"/>
          <w:color w:val="000000"/>
          <w:sz w:val="22"/>
        </w:rPr>
        <w:t>legislative auditor</w:t>
      </w:r>
      <w:r w:rsidRPr="00237028">
        <w:rPr>
          <w:rFonts w:ascii="Arial" w:hAnsi="Arial"/>
          <w:color w:val="000000"/>
          <w:sz w:val="22"/>
        </w:rPr>
        <w:t xml:space="preserve"> and</w:t>
      </w:r>
      <w:r w:rsidR="00962B45">
        <w:rPr>
          <w:rFonts w:ascii="Arial" w:hAnsi="Arial"/>
          <w:color w:val="000000"/>
          <w:sz w:val="22"/>
        </w:rPr>
        <w:t xml:space="preserve"> the state agency </w:t>
      </w:r>
      <w:r w:rsidRPr="00237028">
        <w:rPr>
          <w:rFonts w:ascii="Arial" w:hAnsi="Arial"/>
          <w:color w:val="000000"/>
          <w:sz w:val="22"/>
        </w:rPr>
        <w:t xml:space="preserve">in writing when there is reasonable cause to believe that there has been any (1) non-permitted uses or disclosures of </w:t>
      </w:r>
      <w:r w:rsidR="00962B45">
        <w:rPr>
          <w:rFonts w:ascii="Arial" w:hAnsi="Arial"/>
          <w:color w:val="000000"/>
          <w:sz w:val="22"/>
        </w:rPr>
        <w:t>the state agency’s</w:t>
      </w:r>
      <w:r w:rsidRPr="00237028">
        <w:rPr>
          <w:rFonts w:ascii="Arial" w:hAnsi="Arial"/>
          <w:color w:val="000000"/>
          <w:sz w:val="22"/>
        </w:rPr>
        <w:t xml:space="preserve"> information, including Personal Identifiable Information (PII) and/or Protected Health Information (PHI); (2) breach of unsecured</w:t>
      </w:r>
      <w:r w:rsidR="00962B45">
        <w:rPr>
          <w:rFonts w:ascii="Arial" w:hAnsi="Arial"/>
          <w:color w:val="000000"/>
          <w:sz w:val="22"/>
        </w:rPr>
        <w:t xml:space="preserve"> state agency </w:t>
      </w:r>
      <w:r w:rsidRPr="00237028">
        <w:rPr>
          <w:rFonts w:ascii="Arial" w:hAnsi="Arial"/>
          <w:color w:val="000000"/>
          <w:sz w:val="22"/>
        </w:rPr>
        <w:t>information; or (3) Successful Security Incidents caused by ICPA, or its agents or subcontractors.</w:t>
      </w:r>
    </w:p>
    <w:p w14:paraId="2B05B4AC" w14:textId="77777777" w:rsidR="00F225F4" w:rsidRDefault="00F225F4">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14F0F74A"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b/>
          <w:color w:val="000000"/>
          <w:sz w:val="22"/>
        </w:rPr>
        <w:t>Legislative Auditor's Authority to Audit</w:t>
      </w:r>
    </w:p>
    <w:p w14:paraId="7B4B8C53" w14:textId="689E87F1" w:rsidR="008E6F56" w:rsidRDefault="008E6F56">
      <w:pPr>
        <w:pStyle w:val="BodyText"/>
        <w:rPr>
          <w:rFonts w:ascii="Arial" w:hAnsi="Arial"/>
          <w:sz w:val="22"/>
        </w:rPr>
      </w:pPr>
      <w:r>
        <w:rPr>
          <w:rFonts w:ascii="Arial" w:hAnsi="Arial"/>
          <w:sz w:val="22"/>
        </w:rPr>
        <w:t xml:space="preserve">Under R.S. 24:513(A)(2), the legislative auditor has authority to audit all state agencies included within the state's annual </w:t>
      </w:r>
      <w:r w:rsidR="00FB7622">
        <w:rPr>
          <w:rFonts w:ascii="Arial" w:hAnsi="Arial"/>
          <w:sz w:val="22"/>
        </w:rPr>
        <w:t xml:space="preserve">comprehensive </w:t>
      </w:r>
      <w:r>
        <w:rPr>
          <w:rFonts w:ascii="Arial" w:hAnsi="Arial"/>
          <w:sz w:val="22"/>
        </w:rPr>
        <w:t>financial report.  The legislative auditor reserves the right to cancel any and all parts of a contract resulting from this SFP at any time during the duration of the contract.</w:t>
      </w:r>
    </w:p>
    <w:p w14:paraId="1C534012" w14:textId="77777777" w:rsidR="006C5270" w:rsidRDefault="006C5270">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40CDA604" w14:textId="77777777" w:rsidR="008E6F56" w:rsidRPr="003F0B6E"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2"/>
        </w:rPr>
        <w:t>Contract Compliance</w:t>
      </w:r>
    </w:p>
    <w:p w14:paraId="2C66B920" w14:textId="77777777" w:rsidR="008E6F56" w:rsidRDefault="008E6F56">
      <w:pPr>
        <w:pStyle w:val="BodyText"/>
        <w:rPr>
          <w:rFonts w:ascii="Arial" w:hAnsi="Arial"/>
          <w:sz w:val="22"/>
        </w:rPr>
      </w:pPr>
      <w:r>
        <w:rPr>
          <w:rFonts w:ascii="Arial" w:hAnsi="Arial"/>
          <w:sz w:val="22"/>
        </w:rPr>
        <w:t>Any deviation from the provisions of the engagement contract shall be submitted by the ICPA to the legislative auditor immediately in writing.  Failure to comply with any part of the engagement contract, without appropriate advance approval, will result in the legislative auditor seeking remedial action.  Depending on the engagement contract deviation, the remedial action may include (but is not limited to) canceling the engagement contract and/or prohibiting the ICPA from participating in the SFP process.</w:t>
      </w:r>
    </w:p>
    <w:p w14:paraId="7BD8DA03" w14:textId="77777777" w:rsidR="006E14E2" w:rsidRDefault="006E14E2">
      <w:pPr>
        <w:pStyle w:val="BodyText"/>
        <w:rPr>
          <w:rFonts w:ascii="Arial" w:hAnsi="Arial"/>
          <w:sz w:val="22"/>
        </w:rPr>
      </w:pPr>
    </w:p>
    <w:p w14:paraId="493099AE" w14:textId="77777777" w:rsidR="008E6F56" w:rsidRDefault="008E6F56">
      <w:pPr>
        <w:pStyle w:val="BodyText"/>
        <w:rPr>
          <w:rFonts w:ascii="Arial" w:hAnsi="Arial"/>
          <w:sz w:val="22"/>
        </w:rPr>
      </w:pPr>
      <w:r>
        <w:rPr>
          <w:rFonts w:ascii="Arial" w:hAnsi="Arial"/>
          <w:sz w:val="22"/>
        </w:rPr>
        <w:t xml:space="preserve">The completion date for an </w:t>
      </w:r>
      <w:r w:rsidR="00EB40B3">
        <w:rPr>
          <w:rFonts w:ascii="Arial" w:hAnsi="Arial"/>
          <w:sz w:val="22"/>
        </w:rPr>
        <w:t>engagement</w:t>
      </w:r>
      <w:r>
        <w:rPr>
          <w:rFonts w:ascii="Arial" w:hAnsi="Arial"/>
          <w:sz w:val="22"/>
        </w:rPr>
        <w:t xml:space="preserve"> is a specific contract provision </w:t>
      </w:r>
      <w:r w:rsidR="00AA43AD">
        <w:rPr>
          <w:rFonts w:ascii="Arial" w:hAnsi="Arial"/>
          <w:sz w:val="22"/>
        </w:rPr>
        <w:t>that</w:t>
      </w:r>
      <w:r>
        <w:rPr>
          <w:rFonts w:ascii="Arial" w:hAnsi="Arial"/>
          <w:sz w:val="22"/>
        </w:rPr>
        <w:t xml:space="preserve"> the legislative auditor will c</w:t>
      </w:r>
      <w:r w:rsidR="00B57A34">
        <w:rPr>
          <w:rFonts w:ascii="Arial" w:hAnsi="Arial"/>
          <w:sz w:val="22"/>
        </w:rPr>
        <w:t>losely monitor compliance.  The</w:t>
      </w:r>
      <w:r>
        <w:rPr>
          <w:rFonts w:ascii="Arial" w:hAnsi="Arial"/>
          <w:sz w:val="22"/>
        </w:rPr>
        <w:t xml:space="preserve"> reports must be completed by and transmitted to the legislative auditor within the time frames included in the agency specific information.  Should the ICPA be unable to complete an </w:t>
      </w:r>
      <w:r w:rsidR="00EB40B3">
        <w:rPr>
          <w:rFonts w:ascii="Arial" w:hAnsi="Arial"/>
          <w:sz w:val="22"/>
        </w:rPr>
        <w:t>engagement</w:t>
      </w:r>
      <w:r>
        <w:rPr>
          <w:rFonts w:ascii="Arial" w:hAnsi="Arial"/>
          <w:sz w:val="22"/>
        </w:rPr>
        <w:t xml:space="preserve"> within the required time, he/she shall notify the legislative auditor immediately in writing, providing all substantive reasons for the delay and an estimate of the revised completion date.  Should the legislative auditor determine that such a revised completion date is unacceptable, the legislative auditor shall immediately cancel the contract and engage another ICPA to complete the work within an acceptable completion date.  The cost of any incomplete work for which the ICPA named in the original contract was responsible shall be deducted from the contract fee.  To the extent that the amount charged by the ICPA under the new engagement causes the total costs to exceed the original contract price, the agency reserves the right to proceed against the ICPA named in the original contract.</w:t>
      </w:r>
    </w:p>
    <w:p w14:paraId="688473F6"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3C6196B5"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Timeliness will be considered in the award of engagement contracts and/or continuation of any engagement contracts.  Failure to complete contracted work within the time periods specified in the contract will result in the firm's elimination from the SFP process as a non-responsive proposer.</w:t>
      </w:r>
    </w:p>
    <w:p w14:paraId="06DF7EA4"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470A07BC" w14:textId="77777777" w:rsidR="008E6F56" w:rsidRPr="003F0B6E"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2"/>
        </w:rPr>
        <w:t>Monitoring</w:t>
      </w:r>
    </w:p>
    <w:p w14:paraId="66D78CF0"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It will be the responsibility of the legislative auditor to monitor the successful completion of the </w:t>
      </w:r>
      <w:r w:rsidR="00EB40B3">
        <w:rPr>
          <w:rFonts w:ascii="Arial" w:hAnsi="Arial"/>
          <w:color w:val="000000"/>
          <w:sz w:val="22"/>
        </w:rPr>
        <w:t>engagement</w:t>
      </w:r>
      <w:r>
        <w:rPr>
          <w:rFonts w:ascii="Arial" w:hAnsi="Arial"/>
          <w:color w:val="000000"/>
          <w:sz w:val="22"/>
        </w:rPr>
        <w:t>.  Failure on the part of the ICPA to be responsive to inquiries and requests of legislative auditor</w:t>
      </w:r>
      <w:r w:rsidR="002967E5">
        <w:rPr>
          <w:rFonts w:ascii="Arial" w:hAnsi="Arial"/>
          <w:color w:val="000000"/>
          <w:sz w:val="22"/>
        </w:rPr>
        <w:t>’s</w:t>
      </w:r>
      <w:r>
        <w:rPr>
          <w:rFonts w:ascii="Arial" w:hAnsi="Arial"/>
          <w:color w:val="000000"/>
          <w:sz w:val="22"/>
        </w:rPr>
        <w:t xml:space="preserve"> staff will endanger the ICPA's ability to participate in future SFPs and may result in cancellation of the current contract.</w:t>
      </w:r>
    </w:p>
    <w:p w14:paraId="7646C4A0" w14:textId="77777777" w:rsidR="00BF64B7" w:rsidRDefault="00BF64B7">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13F22E7B" w14:textId="77777777" w:rsidR="008E6F56" w:rsidRPr="003F0B6E"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r>
        <w:rPr>
          <w:rFonts w:ascii="Arial" w:hAnsi="Arial"/>
          <w:b/>
          <w:color w:val="000000"/>
          <w:sz w:val="22"/>
        </w:rPr>
        <w:t>Manager Rotation</w:t>
      </w:r>
      <w:r w:rsidR="00EB40B3">
        <w:rPr>
          <w:rFonts w:ascii="Arial" w:hAnsi="Arial"/>
          <w:b/>
          <w:color w:val="000000"/>
          <w:sz w:val="22"/>
        </w:rPr>
        <w:t xml:space="preserve"> </w:t>
      </w:r>
    </w:p>
    <w:p w14:paraId="4CEDDE01" w14:textId="77777777" w:rsidR="008E6F56" w:rsidRDefault="008E6F56" w:rsidP="003F0B6E">
      <w:pPr>
        <w:jc w:val="both"/>
        <w:rPr>
          <w:rFonts w:ascii="Arial" w:hAnsi="Arial"/>
          <w:sz w:val="22"/>
        </w:rPr>
      </w:pPr>
      <w:r>
        <w:rPr>
          <w:rFonts w:ascii="Arial" w:hAnsi="Arial"/>
          <w:color w:val="000000"/>
          <w:sz w:val="22"/>
        </w:rPr>
        <w:t xml:space="preserve">No ICPA shall be allowed to use the same </w:t>
      </w:r>
      <w:r w:rsidR="00EB40B3">
        <w:rPr>
          <w:rFonts w:ascii="Arial" w:hAnsi="Arial"/>
          <w:color w:val="000000"/>
          <w:sz w:val="22"/>
        </w:rPr>
        <w:t>engagement</w:t>
      </w:r>
      <w:r>
        <w:rPr>
          <w:rFonts w:ascii="Arial" w:hAnsi="Arial"/>
          <w:color w:val="000000"/>
          <w:sz w:val="22"/>
        </w:rPr>
        <w:t xml:space="preserve"> manager for a specific state agency for a period longer than six consecutive years.  After the sixth year of an auditor/client relationship of an ICPA with a specific state agency, there must be a change of </w:t>
      </w:r>
      <w:r w:rsidR="00EB40B3">
        <w:rPr>
          <w:rFonts w:ascii="Arial" w:hAnsi="Arial"/>
          <w:color w:val="000000"/>
          <w:sz w:val="22"/>
        </w:rPr>
        <w:t>engagement</w:t>
      </w:r>
      <w:r>
        <w:rPr>
          <w:rFonts w:ascii="Arial" w:hAnsi="Arial"/>
          <w:color w:val="000000"/>
          <w:sz w:val="22"/>
        </w:rPr>
        <w:t xml:space="preserve"> managers.  A</w:t>
      </w:r>
      <w:r>
        <w:rPr>
          <w:rFonts w:ascii="Arial" w:hAnsi="Arial"/>
          <w:sz w:val="22"/>
        </w:rPr>
        <w:t xml:space="preserve">n </w:t>
      </w:r>
      <w:r w:rsidR="00EB40B3">
        <w:rPr>
          <w:rFonts w:ascii="Arial" w:hAnsi="Arial"/>
          <w:sz w:val="22"/>
        </w:rPr>
        <w:t>engagement</w:t>
      </w:r>
      <w:r>
        <w:rPr>
          <w:rFonts w:ascii="Arial" w:hAnsi="Arial"/>
          <w:sz w:val="22"/>
        </w:rPr>
        <w:t xml:space="preserve"> manager is </w:t>
      </w:r>
      <w:r>
        <w:rPr>
          <w:rFonts w:ascii="Arial" w:hAnsi="Arial"/>
          <w:sz w:val="22"/>
        </w:rPr>
        <w:lastRenderedPageBreak/>
        <w:t xml:space="preserve">the person who is primarily responsible for the successful completion of the </w:t>
      </w:r>
      <w:r w:rsidR="00EB40B3">
        <w:rPr>
          <w:rFonts w:ascii="Arial" w:hAnsi="Arial"/>
          <w:sz w:val="22"/>
        </w:rPr>
        <w:t>engagement</w:t>
      </w:r>
      <w:r>
        <w:rPr>
          <w:rFonts w:ascii="Arial" w:hAnsi="Arial"/>
          <w:sz w:val="22"/>
        </w:rPr>
        <w:t xml:space="preserve">.  The </w:t>
      </w:r>
      <w:r w:rsidR="00EB40B3">
        <w:rPr>
          <w:rFonts w:ascii="Arial" w:hAnsi="Arial"/>
          <w:sz w:val="22"/>
        </w:rPr>
        <w:t>engagement</w:t>
      </w:r>
      <w:r>
        <w:rPr>
          <w:rFonts w:ascii="Arial" w:hAnsi="Arial"/>
          <w:sz w:val="22"/>
        </w:rPr>
        <w:t xml:space="preserve"> manager works independently and does not receive direct supervision, although indirect supervision is received from higher level management.  The </w:t>
      </w:r>
      <w:r w:rsidR="00EB40B3">
        <w:rPr>
          <w:rFonts w:ascii="Arial" w:hAnsi="Arial"/>
          <w:sz w:val="22"/>
        </w:rPr>
        <w:t>engagement</w:t>
      </w:r>
      <w:r>
        <w:rPr>
          <w:rFonts w:ascii="Arial" w:hAnsi="Arial"/>
          <w:sz w:val="22"/>
        </w:rPr>
        <w:t xml:space="preserve"> manager generally:</w:t>
      </w:r>
    </w:p>
    <w:p w14:paraId="5C6AA47A" w14:textId="77777777" w:rsidR="008E6F56" w:rsidRDefault="008E6F56" w:rsidP="003F0B6E">
      <w:pPr>
        <w:numPr>
          <w:ilvl w:val="0"/>
          <w:numId w:val="10"/>
        </w:numPr>
        <w:ind w:left="720"/>
        <w:jc w:val="both"/>
        <w:rPr>
          <w:rFonts w:ascii="Arial" w:hAnsi="Arial"/>
          <w:sz w:val="22"/>
        </w:rPr>
      </w:pPr>
      <w:r>
        <w:rPr>
          <w:rFonts w:ascii="Arial" w:hAnsi="Arial"/>
          <w:sz w:val="22"/>
        </w:rPr>
        <w:t>Controls, approves, and signs major communications with the a</w:t>
      </w:r>
      <w:r w:rsidR="00A87F54">
        <w:rPr>
          <w:rFonts w:ascii="Arial" w:hAnsi="Arial"/>
          <w:sz w:val="22"/>
        </w:rPr>
        <w:t>gency</w:t>
      </w:r>
      <w:r>
        <w:rPr>
          <w:rFonts w:ascii="Arial" w:hAnsi="Arial"/>
          <w:sz w:val="22"/>
        </w:rPr>
        <w:t xml:space="preserve"> and ma</w:t>
      </w:r>
      <w:r w:rsidR="002967E5">
        <w:rPr>
          <w:rFonts w:ascii="Arial" w:hAnsi="Arial"/>
          <w:sz w:val="22"/>
        </w:rPr>
        <w:t>y sign communications with the legislative a</w:t>
      </w:r>
      <w:r>
        <w:rPr>
          <w:rFonts w:ascii="Arial" w:hAnsi="Arial"/>
          <w:sz w:val="22"/>
        </w:rPr>
        <w:t>uditor.</w:t>
      </w:r>
    </w:p>
    <w:p w14:paraId="0234CD8B" w14:textId="77777777" w:rsidR="008E6F56" w:rsidRDefault="008E6F56" w:rsidP="003F0B6E">
      <w:pPr>
        <w:numPr>
          <w:ilvl w:val="0"/>
          <w:numId w:val="10"/>
        </w:numPr>
        <w:ind w:left="720"/>
        <w:jc w:val="both"/>
        <w:rPr>
          <w:rFonts w:ascii="Arial" w:hAnsi="Arial"/>
          <w:sz w:val="22"/>
        </w:rPr>
      </w:pPr>
      <w:r>
        <w:rPr>
          <w:rFonts w:ascii="Arial" w:hAnsi="Arial"/>
          <w:sz w:val="22"/>
        </w:rPr>
        <w:t>Advises the in-charge auditor</w:t>
      </w:r>
      <w:r w:rsidR="00EB40B3">
        <w:rPr>
          <w:rFonts w:ascii="Arial" w:hAnsi="Arial"/>
          <w:sz w:val="22"/>
        </w:rPr>
        <w:t>/accountant</w:t>
      </w:r>
      <w:r>
        <w:rPr>
          <w:rFonts w:ascii="Arial" w:hAnsi="Arial"/>
          <w:sz w:val="22"/>
        </w:rPr>
        <w:t xml:space="preserve"> during the planning phase and on the overall approach to the </w:t>
      </w:r>
      <w:r w:rsidR="00EB40B3">
        <w:rPr>
          <w:rFonts w:ascii="Arial" w:hAnsi="Arial"/>
          <w:sz w:val="22"/>
        </w:rPr>
        <w:t>engagement</w:t>
      </w:r>
      <w:r>
        <w:rPr>
          <w:rFonts w:ascii="Arial" w:hAnsi="Arial"/>
          <w:sz w:val="22"/>
        </w:rPr>
        <w:t>.</w:t>
      </w:r>
    </w:p>
    <w:p w14:paraId="3EBDEC38" w14:textId="77777777" w:rsidR="008E6F56" w:rsidRDefault="008E6F56" w:rsidP="003F0B6E">
      <w:pPr>
        <w:numPr>
          <w:ilvl w:val="0"/>
          <w:numId w:val="10"/>
        </w:numPr>
        <w:ind w:left="720"/>
        <w:jc w:val="both"/>
        <w:rPr>
          <w:rFonts w:ascii="Arial" w:hAnsi="Arial"/>
          <w:sz w:val="22"/>
        </w:rPr>
      </w:pPr>
      <w:r>
        <w:rPr>
          <w:rFonts w:ascii="Arial" w:hAnsi="Arial"/>
          <w:sz w:val="22"/>
        </w:rPr>
        <w:t>Provides technical assistance and consultation to the in-charge auditor</w:t>
      </w:r>
      <w:r w:rsidR="00EB40B3">
        <w:rPr>
          <w:rFonts w:ascii="Arial" w:hAnsi="Arial"/>
          <w:sz w:val="22"/>
        </w:rPr>
        <w:t>/accountant</w:t>
      </w:r>
      <w:r>
        <w:rPr>
          <w:rFonts w:ascii="Arial" w:hAnsi="Arial"/>
          <w:sz w:val="22"/>
        </w:rPr>
        <w:t>.</w:t>
      </w:r>
    </w:p>
    <w:p w14:paraId="171BE5F5" w14:textId="77777777" w:rsidR="008E6F56" w:rsidRDefault="008E6F56" w:rsidP="003F0B6E">
      <w:pPr>
        <w:numPr>
          <w:ilvl w:val="0"/>
          <w:numId w:val="10"/>
        </w:numPr>
        <w:ind w:left="720"/>
        <w:jc w:val="both"/>
        <w:rPr>
          <w:rFonts w:ascii="Arial" w:hAnsi="Arial"/>
          <w:sz w:val="22"/>
        </w:rPr>
      </w:pPr>
      <w:r>
        <w:rPr>
          <w:rFonts w:ascii="Arial" w:hAnsi="Arial"/>
          <w:sz w:val="22"/>
        </w:rPr>
        <w:t xml:space="preserve">Reviews and approves the detailed </w:t>
      </w:r>
      <w:r w:rsidR="00EB40B3">
        <w:rPr>
          <w:rFonts w:ascii="Arial" w:hAnsi="Arial"/>
          <w:sz w:val="22"/>
        </w:rPr>
        <w:t>engagement</w:t>
      </w:r>
      <w:r>
        <w:rPr>
          <w:rFonts w:ascii="Arial" w:hAnsi="Arial"/>
          <w:sz w:val="22"/>
        </w:rPr>
        <w:t xml:space="preserve"> plan and programs and any modifications or amendments thereto.</w:t>
      </w:r>
    </w:p>
    <w:p w14:paraId="2451A8AB" w14:textId="77777777" w:rsidR="008E6F56" w:rsidRDefault="008E6F56" w:rsidP="003F0B6E">
      <w:pPr>
        <w:numPr>
          <w:ilvl w:val="0"/>
          <w:numId w:val="10"/>
        </w:numPr>
        <w:ind w:left="720"/>
        <w:jc w:val="both"/>
        <w:rPr>
          <w:rFonts w:ascii="Arial" w:hAnsi="Arial"/>
          <w:sz w:val="22"/>
        </w:rPr>
      </w:pPr>
      <w:r>
        <w:rPr>
          <w:rFonts w:ascii="Arial" w:hAnsi="Arial"/>
          <w:sz w:val="22"/>
        </w:rPr>
        <w:t>Attends entrance and exit conferences.</w:t>
      </w:r>
    </w:p>
    <w:p w14:paraId="6BC07897" w14:textId="77777777" w:rsidR="008E6F56" w:rsidRDefault="008E6F56" w:rsidP="003F0B6E">
      <w:pPr>
        <w:numPr>
          <w:ilvl w:val="0"/>
          <w:numId w:val="10"/>
        </w:numPr>
        <w:ind w:left="720"/>
        <w:jc w:val="both"/>
        <w:rPr>
          <w:rFonts w:ascii="Arial" w:hAnsi="Arial"/>
          <w:sz w:val="22"/>
        </w:rPr>
      </w:pPr>
      <w:r>
        <w:rPr>
          <w:rFonts w:ascii="Arial" w:hAnsi="Arial"/>
          <w:sz w:val="22"/>
        </w:rPr>
        <w:t xml:space="preserve">Provides overall field supervision, to include review of the </w:t>
      </w:r>
      <w:r w:rsidR="00EB40B3">
        <w:rPr>
          <w:rFonts w:ascii="Arial" w:hAnsi="Arial"/>
          <w:sz w:val="22"/>
        </w:rPr>
        <w:t>engagement</w:t>
      </w:r>
      <w:r>
        <w:rPr>
          <w:rFonts w:ascii="Arial" w:hAnsi="Arial"/>
          <w:sz w:val="22"/>
        </w:rPr>
        <w:t xml:space="preserve"> documentation as needed and as appropriate depending on the experience of the in-charge auditor</w:t>
      </w:r>
      <w:r w:rsidR="00EB40B3">
        <w:rPr>
          <w:rFonts w:ascii="Arial" w:hAnsi="Arial"/>
          <w:sz w:val="22"/>
        </w:rPr>
        <w:t>/accountant</w:t>
      </w:r>
      <w:r>
        <w:rPr>
          <w:rFonts w:ascii="Arial" w:hAnsi="Arial"/>
          <w:sz w:val="22"/>
        </w:rPr>
        <w:t>.</w:t>
      </w:r>
    </w:p>
    <w:p w14:paraId="51DF3C34" w14:textId="77777777" w:rsidR="008E6F56" w:rsidRDefault="008E6F56" w:rsidP="003F0B6E">
      <w:pPr>
        <w:numPr>
          <w:ilvl w:val="0"/>
          <w:numId w:val="10"/>
        </w:numPr>
        <w:ind w:left="720"/>
        <w:jc w:val="both"/>
        <w:rPr>
          <w:rFonts w:ascii="Arial" w:hAnsi="Arial"/>
          <w:sz w:val="22"/>
        </w:rPr>
      </w:pPr>
      <w:r>
        <w:rPr>
          <w:rFonts w:ascii="Arial" w:hAnsi="Arial"/>
          <w:sz w:val="22"/>
        </w:rPr>
        <w:t xml:space="preserve">Monitors the progress of the </w:t>
      </w:r>
      <w:r w:rsidR="00EB40B3">
        <w:rPr>
          <w:rFonts w:ascii="Arial" w:hAnsi="Arial"/>
          <w:sz w:val="22"/>
        </w:rPr>
        <w:t>engagement</w:t>
      </w:r>
      <w:r>
        <w:rPr>
          <w:rFonts w:ascii="Arial" w:hAnsi="Arial"/>
          <w:sz w:val="22"/>
        </w:rPr>
        <w:t>.</w:t>
      </w:r>
    </w:p>
    <w:p w14:paraId="7C1580C3" w14:textId="77777777" w:rsidR="008E6F56" w:rsidRDefault="008E6F56" w:rsidP="003F0B6E">
      <w:pPr>
        <w:numPr>
          <w:ilvl w:val="0"/>
          <w:numId w:val="10"/>
        </w:numPr>
        <w:ind w:left="720"/>
        <w:jc w:val="both"/>
        <w:rPr>
          <w:rFonts w:ascii="Arial" w:hAnsi="Arial"/>
          <w:sz w:val="22"/>
        </w:rPr>
      </w:pPr>
      <w:r>
        <w:rPr>
          <w:rFonts w:ascii="Arial" w:hAnsi="Arial"/>
          <w:sz w:val="22"/>
        </w:rPr>
        <w:t>Approves findings and management letter comments.</w:t>
      </w:r>
    </w:p>
    <w:p w14:paraId="5FF9ABEE" w14:textId="77777777" w:rsidR="008E6F56" w:rsidRDefault="008E6F56" w:rsidP="003F0B6E">
      <w:pPr>
        <w:numPr>
          <w:ilvl w:val="0"/>
          <w:numId w:val="10"/>
        </w:numPr>
        <w:ind w:left="720"/>
        <w:jc w:val="both"/>
        <w:rPr>
          <w:rFonts w:ascii="Arial" w:hAnsi="Arial"/>
          <w:sz w:val="22"/>
        </w:rPr>
      </w:pPr>
      <w:r>
        <w:rPr>
          <w:rFonts w:ascii="Arial" w:hAnsi="Arial"/>
          <w:sz w:val="22"/>
        </w:rPr>
        <w:t>Performs a final review of the report draft for compliance with professional standards.</w:t>
      </w:r>
    </w:p>
    <w:p w14:paraId="0845A34E" w14:textId="77777777" w:rsidR="008E6F56" w:rsidRDefault="008E6F56" w:rsidP="003F0B6E">
      <w:pPr>
        <w:numPr>
          <w:ilvl w:val="0"/>
          <w:numId w:val="10"/>
        </w:numPr>
        <w:ind w:left="720"/>
        <w:jc w:val="both"/>
        <w:rPr>
          <w:rFonts w:ascii="Arial" w:hAnsi="Arial"/>
          <w:sz w:val="22"/>
        </w:rPr>
      </w:pPr>
      <w:r>
        <w:rPr>
          <w:rFonts w:ascii="Arial" w:hAnsi="Arial"/>
          <w:sz w:val="22"/>
        </w:rPr>
        <w:t xml:space="preserve">Assumes responsibility for the correctness and adequacy of the </w:t>
      </w:r>
      <w:r w:rsidR="00EB40B3">
        <w:rPr>
          <w:rFonts w:ascii="Arial" w:hAnsi="Arial"/>
          <w:sz w:val="22"/>
        </w:rPr>
        <w:t>engagement</w:t>
      </w:r>
      <w:r>
        <w:rPr>
          <w:rFonts w:ascii="Arial" w:hAnsi="Arial"/>
          <w:sz w:val="22"/>
        </w:rPr>
        <w:t xml:space="preserve"> and the report draft.</w:t>
      </w:r>
    </w:p>
    <w:p w14:paraId="729692A4"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15849D55" w14:textId="24D20C95" w:rsidR="008E6F56" w:rsidRDefault="0095770F"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b/>
          <w:color w:val="000000"/>
          <w:sz w:val="22"/>
        </w:rPr>
        <w:t xml:space="preserve">Small </w:t>
      </w:r>
      <w:r w:rsidR="00BC517D">
        <w:rPr>
          <w:rFonts w:ascii="Arial" w:hAnsi="Arial"/>
          <w:b/>
          <w:color w:val="000000"/>
          <w:sz w:val="22"/>
        </w:rPr>
        <w:t xml:space="preserve">Audit Firms </w:t>
      </w:r>
      <w:r>
        <w:rPr>
          <w:rFonts w:ascii="Arial" w:hAnsi="Arial"/>
          <w:b/>
          <w:color w:val="000000"/>
          <w:sz w:val="22"/>
        </w:rPr>
        <w:t xml:space="preserve">and Firms </w:t>
      </w:r>
      <w:r w:rsidR="00BC517D">
        <w:rPr>
          <w:rFonts w:ascii="Arial" w:hAnsi="Arial"/>
          <w:b/>
          <w:color w:val="000000"/>
          <w:sz w:val="22"/>
        </w:rPr>
        <w:t>Owned by Socially and Economically Disadvantaged Individuals</w:t>
      </w:r>
    </w:p>
    <w:p w14:paraId="1B94942E" w14:textId="303CB4CD" w:rsidR="001A7C92" w:rsidRDefault="002B41FA">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In accordance</w:t>
      </w:r>
      <w:r w:rsidR="00BC517D">
        <w:rPr>
          <w:rFonts w:ascii="Arial" w:hAnsi="Arial"/>
          <w:color w:val="000000"/>
          <w:sz w:val="22"/>
        </w:rPr>
        <w:t xml:space="preserve"> with R.S. 24.513</w:t>
      </w:r>
      <w:r w:rsidR="000A1889">
        <w:rPr>
          <w:rFonts w:ascii="Arial" w:hAnsi="Arial"/>
          <w:color w:val="000000"/>
          <w:sz w:val="22"/>
        </w:rPr>
        <w:t>(A)</w:t>
      </w:r>
      <w:r w:rsidR="00BC517D">
        <w:rPr>
          <w:rFonts w:ascii="Arial" w:hAnsi="Arial"/>
          <w:color w:val="000000"/>
          <w:sz w:val="22"/>
        </w:rPr>
        <w:t>(5)(b</w:t>
      </w:r>
      <w:r w:rsidR="005F4340">
        <w:rPr>
          <w:rFonts w:ascii="Arial" w:hAnsi="Arial"/>
          <w:color w:val="000000"/>
          <w:sz w:val="22"/>
        </w:rPr>
        <w:t>)</w:t>
      </w:r>
      <w:r w:rsidR="00BC517D">
        <w:rPr>
          <w:rFonts w:ascii="Arial" w:hAnsi="Arial"/>
          <w:color w:val="000000"/>
          <w:sz w:val="22"/>
        </w:rPr>
        <w:t>, i</w:t>
      </w:r>
      <w:r w:rsidR="001A7C92" w:rsidRPr="001A7C92">
        <w:rPr>
          <w:rFonts w:ascii="Arial" w:hAnsi="Arial"/>
          <w:color w:val="000000"/>
          <w:sz w:val="22"/>
        </w:rPr>
        <w:t xml:space="preserve">t is the intent of the legislature that small audit firms and audit firms owned and controlled by socially and economically disadvantaged individuals shall have the maximum practicable opportunity to participate in contracts awarded </w:t>
      </w:r>
      <w:r w:rsidR="00D270C1">
        <w:rPr>
          <w:rFonts w:ascii="Arial" w:hAnsi="Arial"/>
          <w:color w:val="000000"/>
          <w:sz w:val="22"/>
        </w:rPr>
        <w:t>by the legislative auditor</w:t>
      </w:r>
      <w:r w:rsidR="001A7C92" w:rsidRPr="001A7C92">
        <w:rPr>
          <w:rFonts w:ascii="Arial" w:hAnsi="Arial"/>
          <w:color w:val="000000"/>
          <w:sz w:val="22"/>
        </w:rPr>
        <w:t>.</w:t>
      </w:r>
      <w:r w:rsidR="00BC517D">
        <w:rPr>
          <w:rFonts w:ascii="Arial" w:hAnsi="Arial"/>
          <w:color w:val="000000"/>
          <w:sz w:val="22"/>
        </w:rPr>
        <w:t xml:space="preserve">  The legislative auditor will give special consideration to </w:t>
      </w:r>
      <w:r w:rsidR="000A1889">
        <w:rPr>
          <w:rFonts w:ascii="Arial" w:hAnsi="Arial"/>
          <w:color w:val="000000"/>
          <w:sz w:val="22"/>
        </w:rPr>
        <w:t xml:space="preserve">small audit firms (10 or less employees) and </w:t>
      </w:r>
      <w:r w:rsidR="00BC517D">
        <w:rPr>
          <w:rFonts w:ascii="Arial" w:hAnsi="Arial"/>
          <w:color w:val="000000"/>
          <w:sz w:val="22"/>
        </w:rPr>
        <w:t>firms</w:t>
      </w:r>
      <w:r w:rsidR="00770C07">
        <w:rPr>
          <w:rFonts w:ascii="Arial" w:hAnsi="Arial"/>
          <w:color w:val="000000"/>
          <w:sz w:val="22"/>
        </w:rPr>
        <w:t xml:space="preserve"> in which a </w:t>
      </w:r>
      <w:r w:rsidR="00BC517D">
        <w:rPr>
          <w:rFonts w:ascii="Arial" w:hAnsi="Arial"/>
          <w:color w:val="000000"/>
          <w:sz w:val="22"/>
        </w:rPr>
        <w:t>socially and economically disadvantaged individual</w:t>
      </w:r>
      <w:r w:rsidR="00770C07">
        <w:rPr>
          <w:rFonts w:ascii="Arial" w:hAnsi="Arial"/>
          <w:color w:val="000000"/>
          <w:sz w:val="22"/>
        </w:rPr>
        <w:t>(</w:t>
      </w:r>
      <w:r w:rsidR="00BC517D">
        <w:rPr>
          <w:rFonts w:ascii="Arial" w:hAnsi="Arial"/>
          <w:color w:val="000000"/>
          <w:sz w:val="22"/>
        </w:rPr>
        <w:t>s</w:t>
      </w:r>
      <w:r w:rsidR="00770C07">
        <w:rPr>
          <w:rFonts w:ascii="Arial" w:hAnsi="Arial"/>
          <w:color w:val="000000"/>
          <w:sz w:val="22"/>
        </w:rPr>
        <w:t>) own and control at least 51% of the firm</w:t>
      </w:r>
      <w:r w:rsidR="00BC517D">
        <w:rPr>
          <w:rFonts w:ascii="Arial" w:hAnsi="Arial"/>
          <w:color w:val="000000"/>
          <w:sz w:val="22"/>
        </w:rPr>
        <w:t xml:space="preserve">.  </w:t>
      </w:r>
      <w:r w:rsidR="00770C07">
        <w:rPr>
          <w:rFonts w:ascii="Arial" w:hAnsi="Arial"/>
          <w:color w:val="000000"/>
          <w:sz w:val="22"/>
        </w:rPr>
        <w:t xml:space="preserve">Proposals should indicate whether the firm meets these criteria in order to receive special consideration. </w:t>
      </w:r>
    </w:p>
    <w:p w14:paraId="072C2D18"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44CAB2C2"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b/>
          <w:color w:val="000000"/>
          <w:sz w:val="22"/>
        </w:rPr>
        <w:t>Incomplete Proposals</w:t>
      </w:r>
    </w:p>
    <w:p w14:paraId="2F38896E" w14:textId="77777777"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legislative auditor reserves the right to reject proposals that are incomplete.  While not an </w:t>
      </w:r>
      <w:proofErr w:type="spellStart"/>
      <w:proofErr w:type="gramStart"/>
      <w:r>
        <w:rPr>
          <w:rFonts w:ascii="Arial" w:hAnsi="Arial"/>
          <w:color w:val="000000"/>
          <w:sz w:val="22"/>
        </w:rPr>
        <w:t>all inclusive</w:t>
      </w:r>
      <w:proofErr w:type="spellEnd"/>
      <w:proofErr w:type="gramEnd"/>
      <w:r>
        <w:rPr>
          <w:rFonts w:ascii="Arial" w:hAnsi="Arial"/>
          <w:color w:val="000000"/>
          <w:sz w:val="22"/>
        </w:rPr>
        <w:t xml:space="preserve"> listing, any one of the following will cause the proposal to be considered incomplete:</w:t>
      </w:r>
    </w:p>
    <w:p w14:paraId="26FD0958" w14:textId="77777777" w:rsidR="008E6F56" w:rsidRDefault="008E6F56" w:rsidP="003F0B6E">
      <w:pPr>
        <w:numPr>
          <w:ilvl w:val="0"/>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proposal does not identify the state agency, contract period, or </w:t>
      </w:r>
      <w:r w:rsidR="0082228A">
        <w:rPr>
          <w:rFonts w:ascii="Arial" w:hAnsi="Arial"/>
          <w:color w:val="000000"/>
          <w:sz w:val="22"/>
        </w:rPr>
        <w:t>engagement</w:t>
      </w:r>
      <w:r>
        <w:rPr>
          <w:rFonts w:ascii="Arial" w:hAnsi="Arial"/>
          <w:color w:val="000000"/>
          <w:sz w:val="22"/>
        </w:rPr>
        <w:t xml:space="preserve"> periods.</w:t>
      </w:r>
    </w:p>
    <w:p w14:paraId="545C3A47" w14:textId="77777777" w:rsidR="008E6F56" w:rsidRDefault="008E6F56" w:rsidP="003F0B6E">
      <w:pPr>
        <w:numPr>
          <w:ilvl w:val="0"/>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The proposal significantly departs from the format specified in the “Response to the Solicitation for Proposal.”</w:t>
      </w:r>
    </w:p>
    <w:p w14:paraId="7134904E" w14:textId="77777777" w:rsidR="008E6F56" w:rsidRDefault="008E6F56" w:rsidP="003F0B6E">
      <w:pPr>
        <w:numPr>
          <w:ilvl w:val="0"/>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The proposal does not specify the application of</w:t>
      </w:r>
      <w:r>
        <w:rPr>
          <w:rFonts w:ascii="Arial" w:hAnsi="Arial"/>
          <w:i/>
          <w:color w:val="000000"/>
          <w:sz w:val="22"/>
        </w:rPr>
        <w:t xml:space="preserve"> Government Auditing Standards</w:t>
      </w:r>
      <w:r w:rsidR="00A87F54">
        <w:rPr>
          <w:rFonts w:ascii="Arial" w:hAnsi="Arial"/>
          <w:i/>
          <w:color w:val="000000"/>
          <w:sz w:val="22"/>
        </w:rPr>
        <w:t>.</w:t>
      </w:r>
    </w:p>
    <w:p w14:paraId="3A7BA629" w14:textId="47A81D9F" w:rsidR="008E6F56" w:rsidRDefault="008E6F56" w:rsidP="003F0B6E">
      <w:pPr>
        <w:numPr>
          <w:ilvl w:val="0"/>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proposal </w:t>
      </w:r>
      <w:r w:rsidR="00296DCA">
        <w:rPr>
          <w:rFonts w:ascii="Arial" w:hAnsi="Arial"/>
          <w:color w:val="000000"/>
          <w:sz w:val="22"/>
        </w:rPr>
        <w:t xml:space="preserve">is missing </w:t>
      </w:r>
      <w:r>
        <w:rPr>
          <w:rFonts w:ascii="Arial" w:hAnsi="Arial"/>
          <w:color w:val="000000"/>
          <w:sz w:val="22"/>
        </w:rPr>
        <w:t>the following confirmations:</w:t>
      </w:r>
    </w:p>
    <w:p w14:paraId="34A24B76" w14:textId="77777777" w:rsidR="008E6F56" w:rsidRPr="003F0B6E" w:rsidRDefault="008E6F56" w:rsidP="003F0B6E">
      <w:pPr>
        <w:pStyle w:val="ListParagraph"/>
        <w:numPr>
          <w:ilvl w:val="1"/>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sidRPr="003F0B6E">
        <w:rPr>
          <w:rFonts w:ascii="Arial" w:hAnsi="Arial"/>
          <w:color w:val="000000"/>
          <w:sz w:val="22"/>
        </w:rPr>
        <w:t>There are no scope limitations.</w:t>
      </w:r>
    </w:p>
    <w:p w14:paraId="5135BC2B" w14:textId="77777777" w:rsidR="008E6F56" w:rsidRPr="003F0B6E" w:rsidRDefault="008E6F56" w:rsidP="003F0B6E">
      <w:pPr>
        <w:pStyle w:val="ListParagraph"/>
        <w:numPr>
          <w:ilvl w:val="1"/>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sidRPr="003F0B6E">
        <w:rPr>
          <w:rFonts w:ascii="Arial" w:hAnsi="Arial"/>
          <w:color w:val="000000"/>
          <w:sz w:val="22"/>
        </w:rPr>
        <w:t>The proposer meets the appropriate state licensing requirements.</w:t>
      </w:r>
    </w:p>
    <w:p w14:paraId="15809058" w14:textId="77777777" w:rsidR="008E6F56" w:rsidRPr="003F0B6E" w:rsidRDefault="008E6F56" w:rsidP="003F0B6E">
      <w:pPr>
        <w:pStyle w:val="ListParagraph"/>
        <w:numPr>
          <w:ilvl w:val="1"/>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sidRPr="003F0B6E">
        <w:rPr>
          <w:rFonts w:ascii="Arial" w:hAnsi="Arial"/>
          <w:color w:val="000000"/>
          <w:sz w:val="22"/>
        </w:rPr>
        <w:t>The proposer meets the applicable independence standard relating to the agency.</w:t>
      </w:r>
      <w:r w:rsidR="0082228A" w:rsidRPr="003F0B6E">
        <w:rPr>
          <w:rFonts w:ascii="Arial" w:hAnsi="Arial"/>
          <w:color w:val="000000"/>
          <w:sz w:val="22"/>
        </w:rPr>
        <w:t xml:space="preserve">  </w:t>
      </w:r>
    </w:p>
    <w:p w14:paraId="002E47D4" w14:textId="77777777" w:rsidR="008E6F56" w:rsidRPr="003F0B6E" w:rsidRDefault="008E6F56" w:rsidP="003F0B6E">
      <w:pPr>
        <w:pStyle w:val="ListParagraph"/>
        <w:numPr>
          <w:ilvl w:val="1"/>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sidRPr="003F0B6E">
        <w:rPr>
          <w:rFonts w:ascii="Arial" w:hAnsi="Arial"/>
          <w:color w:val="000000"/>
          <w:sz w:val="22"/>
        </w:rPr>
        <w:t>The proposer has not had a record of substandard audit work nor engaged in unethical practices within the past five years.</w:t>
      </w:r>
    </w:p>
    <w:p w14:paraId="0A864AEA" w14:textId="77777777" w:rsidR="00891D0B" w:rsidRPr="003F0B6E" w:rsidRDefault="00891D0B" w:rsidP="003F0B6E">
      <w:pPr>
        <w:pStyle w:val="ListParagraph"/>
        <w:numPr>
          <w:ilvl w:val="1"/>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sidRPr="003F0B6E">
        <w:rPr>
          <w:rFonts w:ascii="Arial" w:hAnsi="Arial"/>
          <w:color w:val="000000"/>
          <w:sz w:val="22"/>
        </w:rPr>
        <w:t xml:space="preserve">The proposer has procured appropriate professional liability insurance; and if awarded the contract, will maintain this insurance in full force and effect during the term of the </w:t>
      </w:r>
      <w:r w:rsidR="006E1546" w:rsidRPr="003F0B6E">
        <w:rPr>
          <w:rFonts w:ascii="Arial" w:hAnsi="Arial"/>
          <w:color w:val="000000"/>
          <w:sz w:val="22"/>
        </w:rPr>
        <w:t>contrac</w:t>
      </w:r>
      <w:r w:rsidRPr="003F0B6E">
        <w:rPr>
          <w:rFonts w:ascii="Arial" w:hAnsi="Arial"/>
          <w:color w:val="000000"/>
          <w:sz w:val="22"/>
        </w:rPr>
        <w:t>t</w:t>
      </w:r>
      <w:r w:rsidR="006E1546" w:rsidRPr="003F0B6E">
        <w:rPr>
          <w:rFonts w:ascii="Arial" w:hAnsi="Arial"/>
          <w:color w:val="000000"/>
          <w:sz w:val="22"/>
        </w:rPr>
        <w:t>;</w:t>
      </w:r>
      <w:r w:rsidRPr="003F0B6E">
        <w:rPr>
          <w:rFonts w:ascii="Arial" w:hAnsi="Arial"/>
          <w:color w:val="000000"/>
          <w:sz w:val="22"/>
        </w:rPr>
        <w:t xml:space="preserve"> and will provide a true and correct copy of the required policy, together with all endorsements, riders or other additions or attachments to the policy which in any manner limit or restrict coverage to the legislative auditor within ten days of the date of execution of the </w:t>
      </w:r>
      <w:r w:rsidR="006E1546" w:rsidRPr="003F0B6E">
        <w:rPr>
          <w:rFonts w:ascii="Arial" w:hAnsi="Arial"/>
          <w:color w:val="000000"/>
          <w:sz w:val="22"/>
        </w:rPr>
        <w:t>contrac</w:t>
      </w:r>
      <w:r w:rsidRPr="003F0B6E">
        <w:rPr>
          <w:rFonts w:ascii="Arial" w:hAnsi="Arial"/>
          <w:color w:val="000000"/>
          <w:sz w:val="22"/>
        </w:rPr>
        <w:t>t.</w:t>
      </w:r>
    </w:p>
    <w:p w14:paraId="5CF49DA4" w14:textId="6E8C2C98" w:rsidR="008E6F56" w:rsidRDefault="008E6F56" w:rsidP="003F0B6E">
      <w:pPr>
        <w:numPr>
          <w:ilvl w:val="0"/>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w:t>
      </w:r>
      <w:r w:rsidR="00250C8C">
        <w:rPr>
          <w:rFonts w:ascii="Arial" w:hAnsi="Arial"/>
          <w:color w:val="000000"/>
          <w:sz w:val="22"/>
        </w:rPr>
        <w:t xml:space="preserve">proposal includes pricing information.  Pricing information must be uploaded electronically in a separate pdf document. </w:t>
      </w:r>
      <w:r>
        <w:rPr>
          <w:rFonts w:ascii="Arial" w:hAnsi="Arial"/>
          <w:color w:val="000000"/>
          <w:sz w:val="22"/>
        </w:rPr>
        <w:t xml:space="preserve"> </w:t>
      </w:r>
      <w:r w:rsidR="00770C07">
        <w:rPr>
          <w:rFonts w:ascii="Arial" w:hAnsi="Arial"/>
          <w:color w:val="000000"/>
          <w:sz w:val="22"/>
        </w:rPr>
        <w:t xml:space="preserve"> </w:t>
      </w:r>
    </w:p>
    <w:p w14:paraId="2F50925B" w14:textId="77777777" w:rsidR="008E6F56" w:rsidRDefault="008E6F56" w:rsidP="003F0B6E">
      <w:pPr>
        <w:numPr>
          <w:ilvl w:val="0"/>
          <w:numId w:val="49"/>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The pricing information significantly departs from the format specified in the “Response to the Solicitation for Proposal.”</w:t>
      </w:r>
    </w:p>
    <w:p w14:paraId="7311EDEA" w14:textId="4D2B4229"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b/>
          <w:color w:val="000000"/>
          <w:sz w:val="22"/>
        </w:rPr>
        <w:lastRenderedPageBreak/>
        <w:t>Evaluation</w:t>
      </w:r>
    </w:p>
    <w:p w14:paraId="11E10D97" w14:textId="32DB9C2A" w:rsidR="008E6F56" w:rsidRDefault="008E6F56" w:rsidP="003F0B6E">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Proposals will be evaluated using a </w:t>
      </w:r>
      <w:r w:rsidR="00577AAD">
        <w:rPr>
          <w:rFonts w:ascii="Arial" w:hAnsi="Arial"/>
          <w:color w:val="000000"/>
          <w:sz w:val="22"/>
        </w:rPr>
        <w:t>two-step</w:t>
      </w:r>
      <w:r>
        <w:rPr>
          <w:rFonts w:ascii="Arial" w:hAnsi="Arial"/>
          <w:color w:val="000000"/>
          <w:sz w:val="22"/>
        </w:rPr>
        <w:t xml:space="preserve"> process.  The first step involves performing technical evaluations and, based solely on those evaluations, selecting a top group of proposers.  The second step involves the awarding of the engagement contract by the evaluation committee.  Once the committee is satisfied with the top group of proposers, the pricing envelopes from the top group will be opened.  The committee will award the contract to the ICPA submitting the lowest price for the </w:t>
      </w:r>
      <w:r w:rsidR="00885F6D">
        <w:rPr>
          <w:rFonts w:ascii="Arial" w:hAnsi="Arial"/>
          <w:color w:val="000000"/>
          <w:sz w:val="22"/>
        </w:rPr>
        <w:t>engagement</w:t>
      </w:r>
      <w:r>
        <w:rPr>
          <w:rFonts w:ascii="Arial" w:hAnsi="Arial"/>
          <w:color w:val="000000"/>
          <w:sz w:val="22"/>
        </w:rPr>
        <w:t xml:space="preserve"> services, subject to the following:</w:t>
      </w:r>
    </w:p>
    <w:p w14:paraId="01D31CC5" w14:textId="77777777" w:rsidR="008E6F56" w:rsidRDefault="008E6F56"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If there is reason to believe that an unreasonably low proposal has been submitted, the legislative auditor may reject the proposal on the basis that the ICPA is not independent with respect to the state agency.</w:t>
      </w:r>
    </w:p>
    <w:p w14:paraId="1B036CEA" w14:textId="61EE68FB" w:rsidR="008E6F56" w:rsidRDefault="0076493A" w:rsidP="003F0B6E">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Small firms and a</w:t>
      </w:r>
      <w:r w:rsidR="000400C4" w:rsidRPr="000400C4">
        <w:rPr>
          <w:rFonts w:ascii="Arial" w:hAnsi="Arial"/>
          <w:color w:val="000000"/>
          <w:sz w:val="22"/>
        </w:rPr>
        <w:t>udit firms owned and controlled by socially and economically disadvantaged individuals shall have the maximum practicable opportunity to participate in contracts</w:t>
      </w:r>
      <w:r w:rsidR="000400C4">
        <w:rPr>
          <w:rFonts w:ascii="Arial" w:hAnsi="Arial"/>
          <w:color w:val="000000"/>
          <w:sz w:val="22"/>
        </w:rPr>
        <w:t>.</w:t>
      </w:r>
      <w:r w:rsidR="000400C4" w:rsidRPr="000400C4">
        <w:rPr>
          <w:rFonts w:ascii="Arial" w:hAnsi="Arial"/>
          <w:color w:val="000000"/>
          <w:sz w:val="22"/>
        </w:rPr>
        <w:t xml:space="preserve"> </w:t>
      </w:r>
    </w:p>
    <w:p w14:paraId="6D75FB17" w14:textId="77777777" w:rsidR="008E6F56" w:rsidRDefault="008E6F56">
      <w:pPr>
        <w:numPr>
          <w:ilvl w:val="0"/>
          <w:numId w:val="3"/>
        </w:num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36"/>
        <w:jc w:val="both"/>
        <w:rPr>
          <w:rFonts w:ascii="Arial" w:hAnsi="Arial"/>
          <w:color w:val="000000"/>
          <w:sz w:val="22"/>
        </w:rPr>
      </w:pPr>
      <w:r>
        <w:rPr>
          <w:rFonts w:ascii="Arial" w:hAnsi="Arial"/>
          <w:color w:val="000000"/>
          <w:sz w:val="22"/>
        </w:rPr>
        <w:t>The committee may award the contract to other than the ICPA submitting the lowest price if it determines that there are compelling reasons to do so.</w:t>
      </w:r>
    </w:p>
    <w:p w14:paraId="622E8708"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2DFF2A7B"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The successful ICPA firm will be notified within 10 working days of the award of the contract. The </w:t>
      </w:r>
      <w:r w:rsidR="00A2263F">
        <w:rPr>
          <w:rFonts w:ascii="Arial" w:hAnsi="Arial"/>
          <w:color w:val="000000"/>
          <w:sz w:val="22"/>
        </w:rPr>
        <w:t xml:space="preserve">name of the </w:t>
      </w:r>
      <w:r w:rsidR="0082228A">
        <w:rPr>
          <w:rFonts w:ascii="Arial" w:hAnsi="Arial"/>
          <w:color w:val="000000"/>
          <w:sz w:val="22"/>
        </w:rPr>
        <w:t>successful proposer and pricing information</w:t>
      </w:r>
      <w:r>
        <w:rPr>
          <w:rFonts w:ascii="Arial" w:hAnsi="Arial"/>
          <w:color w:val="000000"/>
          <w:sz w:val="22"/>
        </w:rPr>
        <w:t xml:space="preserve"> will be posted on</w:t>
      </w:r>
      <w:r w:rsidR="00DB48E3">
        <w:rPr>
          <w:rFonts w:ascii="Arial" w:hAnsi="Arial"/>
          <w:color w:val="000000"/>
          <w:sz w:val="22"/>
        </w:rPr>
        <w:t xml:space="preserve"> the legislative auditor’s</w:t>
      </w:r>
      <w:r>
        <w:rPr>
          <w:rFonts w:ascii="Arial" w:hAnsi="Arial"/>
          <w:color w:val="000000"/>
          <w:sz w:val="22"/>
        </w:rPr>
        <w:t xml:space="preserve"> website.</w:t>
      </w:r>
    </w:p>
    <w:p w14:paraId="310D6BBA"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b/>
          <w:color w:val="000000"/>
          <w:sz w:val="22"/>
        </w:rPr>
      </w:pPr>
    </w:p>
    <w:p w14:paraId="6AEA9D81" w14:textId="77777777" w:rsidR="008E6F56" w:rsidRDefault="008E6F56" w:rsidP="003F0B6E">
      <w:pPr>
        <w:keepNext/>
        <w:keepLines/>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b/>
          <w:color w:val="000000"/>
          <w:sz w:val="22"/>
        </w:rPr>
        <w:t>Compensation and Payment</w:t>
      </w:r>
    </w:p>
    <w:p w14:paraId="59A681E7" w14:textId="796C1631" w:rsidR="008E6F56" w:rsidRDefault="008E6F56">
      <w:pPr>
        <w:pStyle w:val="BodyText"/>
        <w:rPr>
          <w:rFonts w:ascii="Arial" w:hAnsi="Arial"/>
          <w:sz w:val="22"/>
        </w:rPr>
      </w:pPr>
      <w:r>
        <w:rPr>
          <w:rFonts w:ascii="Arial" w:hAnsi="Arial"/>
          <w:sz w:val="22"/>
        </w:rPr>
        <w:t xml:space="preserve">R.S. 24.517.3 provides that the legislative auditor will pay for the cost of the </w:t>
      </w:r>
      <w:r w:rsidR="0082228A">
        <w:rPr>
          <w:rFonts w:ascii="Arial" w:hAnsi="Arial"/>
          <w:sz w:val="22"/>
        </w:rPr>
        <w:t>engagement</w:t>
      </w:r>
      <w:r>
        <w:rPr>
          <w:rFonts w:ascii="Arial" w:hAnsi="Arial"/>
          <w:sz w:val="22"/>
        </w:rPr>
        <w:t xml:space="preserve">, to the extent that funds are appropriated by the legislature.  Funds have not been appropriated to the legislative auditor to pay for these </w:t>
      </w:r>
      <w:r w:rsidR="0082228A">
        <w:rPr>
          <w:rFonts w:ascii="Arial" w:hAnsi="Arial"/>
          <w:sz w:val="22"/>
        </w:rPr>
        <w:t>engagements</w:t>
      </w:r>
      <w:r>
        <w:rPr>
          <w:rFonts w:ascii="Arial" w:hAnsi="Arial"/>
          <w:sz w:val="22"/>
        </w:rPr>
        <w:t xml:space="preserve">.  Even though the agency will pay for the cost of the </w:t>
      </w:r>
      <w:r w:rsidR="0082228A">
        <w:rPr>
          <w:rFonts w:ascii="Arial" w:hAnsi="Arial"/>
          <w:sz w:val="22"/>
        </w:rPr>
        <w:t>engagement</w:t>
      </w:r>
      <w:r>
        <w:rPr>
          <w:rFonts w:ascii="Arial" w:hAnsi="Arial"/>
          <w:sz w:val="22"/>
        </w:rPr>
        <w:t xml:space="preserve">, the legislative auditor will monitor </w:t>
      </w:r>
      <w:r w:rsidR="00582D58">
        <w:rPr>
          <w:rFonts w:ascii="Arial" w:hAnsi="Arial"/>
          <w:sz w:val="22"/>
        </w:rPr>
        <w:t xml:space="preserve">and approve </w:t>
      </w:r>
      <w:r>
        <w:rPr>
          <w:rFonts w:ascii="Arial" w:hAnsi="Arial"/>
          <w:sz w:val="22"/>
        </w:rPr>
        <w:t>payment</w:t>
      </w:r>
      <w:r w:rsidR="00582D58">
        <w:rPr>
          <w:rFonts w:ascii="Arial" w:hAnsi="Arial"/>
          <w:sz w:val="22"/>
        </w:rPr>
        <w:t>s</w:t>
      </w:r>
      <w:r>
        <w:rPr>
          <w:rFonts w:ascii="Arial" w:hAnsi="Arial"/>
          <w:sz w:val="22"/>
        </w:rPr>
        <w:t xml:space="preserve"> to the ICPA.</w:t>
      </w:r>
    </w:p>
    <w:p w14:paraId="63D26B4F"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1A6BA139"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Monthly billings will be allowed; however, no more than five billings per </w:t>
      </w:r>
      <w:r w:rsidR="0082228A">
        <w:rPr>
          <w:rFonts w:ascii="Arial" w:hAnsi="Arial"/>
          <w:color w:val="000000"/>
          <w:sz w:val="22"/>
        </w:rPr>
        <w:t>engagement</w:t>
      </w:r>
      <w:r>
        <w:rPr>
          <w:rFonts w:ascii="Arial" w:hAnsi="Arial"/>
          <w:color w:val="000000"/>
          <w:sz w:val="22"/>
        </w:rPr>
        <w:t xml:space="preserve"> period, not to exceed ninety percent of the contract fee for each period, will be permitted until the legislative auditor has received and accepted the report.</w:t>
      </w:r>
    </w:p>
    <w:p w14:paraId="2E14D449"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22989042" w14:textId="1FC5D3DF" w:rsidR="00765B39"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r>
        <w:rPr>
          <w:rFonts w:ascii="Arial" w:hAnsi="Arial"/>
          <w:color w:val="000000"/>
          <w:sz w:val="22"/>
        </w:rPr>
        <w:t xml:space="preserve">Billings (interim and final) should be submitted to </w:t>
      </w:r>
      <w:r w:rsidR="00070479">
        <w:rPr>
          <w:rFonts w:ascii="Arial" w:hAnsi="Arial"/>
          <w:color w:val="000000"/>
          <w:sz w:val="22"/>
        </w:rPr>
        <w:t xml:space="preserve">both the legislative auditor and </w:t>
      </w:r>
      <w:r>
        <w:rPr>
          <w:rFonts w:ascii="Arial" w:hAnsi="Arial"/>
          <w:color w:val="000000"/>
          <w:sz w:val="22"/>
        </w:rPr>
        <w:t xml:space="preserve">the </w:t>
      </w:r>
      <w:r w:rsidR="00885F6D">
        <w:rPr>
          <w:rFonts w:ascii="Arial" w:hAnsi="Arial"/>
          <w:color w:val="000000"/>
          <w:sz w:val="22"/>
        </w:rPr>
        <w:t>state</w:t>
      </w:r>
      <w:r>
        <w:rPr>
          <w:rFonts w:ascii="Arial" w:hAnsi="Arial"/>
          <w:color w:val="000000"/>
          <w:sz w:val="22"/>
        </w:rPr>
        <w:t xml:space="preserve"> agency.  </w:t>
      </w:r>
      <w:r w:rsidR="009135C6">
        <w:rPr>
          <w:rFonts w:ascii="Arial" w:hAnsi="Arial"/>
          <w:color w:val="000000"/>
          <w:sz w:val="22"/>
        </w:rPr>
        <w:t>Upon the legislative auditor’s approval of the payment, t</w:t>
      </w:r>
      <w:r>
        <w:rPr>
          <w:rFonts w:ascii="Arial" w:hAnsi="Arial"/>
          <w:color w:val="000000"/>
          <w:sz w:val="22"/>
        </w:rPr>
        <w:t xml:space="preserve">he state agency will issue a check made payable </w:t>
      </w:r>
      <w:r w:rsidR="00070479">
        <w:rPr>
          <w:rFonts w:ascii="Arial" w:hAnsi="Arial"/>
          <w:color w:val="000000"/>
          <w:sz w:val="22"/>
        </w:rPr>
        <w:t xml:space="preserve">solely </w:t>
      </w:r>
      <w:r>
        <w:rPr>
          <w:rFonts w:ascii="Arial" w:hAnsi="Arial"/>
          <w:color w:val="000000"/>
          <w:sz w:val="22"/>
        </w:rPr>
        <w:t xml:space="preserve">to </w:t>
      </w:r>
      <w:r w:rsidR="000A1889">
        <w:rPr>
          <w:rFonts w:ascii="Arial" w:hAnsi="Arial"/>
          <w:color w:val="000000"/>
          <w:sz w:val="22"/>
        </w:rPr>
        <w:t xml:space="preserve">the </w:t>
      </w:r>
      <w:r w:rsidR="00765B39">
        <w:rPr>
          <w:rFonts w:ascii="Arial" w:hAnsi="Arial"/>
          <w:color w:val="000000"/>
          <w:sz w:val="22"/>
        </w:rPr>
        <w:t xml:space="preserve">ICPA.  </w:t>
      </w:r>
      <w:r w:rsidR="00D244A4">
        <w:rPr>
          <w:rFonts w:ascii="Arial" w:hAnsi="Arial"/>
          <w:sz w:val="22"/>
        </w:rPr>
        <w:t xml:space="preserve">  </w:t>
      </w:r>
      <w:bookmarkStart w:id="1" w:name="_Hlk99012556"/>
    </w:p>
    <w:bookmarkEnd w:id="1"/>
    <w:p w14:paraId="0AAD899B" w14:textId="77777777" w:rsidR="008E6F56" w:rsidRDefault="008E6F56">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olor w:val="000000"/>
          <w:sz w:val="22"/>
        </w:rPr>
      </w:pPr>
    </w:p>
    <w:p w14:paraId="3E84C105" w14:textId="77777777" w:rsidR="00070479" w:rsidRPr="0051437A" w:rsidRDefault="008E6F56">
      <w:pPr>
        <w:pStyle w:val="BodyText"/>
        <w:rPr>
          <w:rFonts w:ascii="Arial" w:hAnsi="Arial" w:cs="Arial"/>
          <w:sz w:val="22"/>
          <w:szCs w:val="22"/>
        </w:rPr>
      </w:pPr>
      <w:r w:rsidRPr="0051437A">
        <w:rPr>
          <w:rFonts w:ascii="Arial" w:hAnsi="Arial" w:cs="Arial"/>
          <w:sz w:val="22"/>
          <w:szCs w:val="22"/>
        </w:rPr>
        <w:t xml:space="preserve">If extraordinary or unusual circumstances are encountered which make it necessary for the ICPA to perform added work beyond the scope originally anticipated, before beginning such work, the ICPA shall immediately report such condition, in writing, to the legislative auditor and the state agency being </w:t>
      </w:r>
      <w:r w:rsidR="0082228A" w:rsidRPr="0051437A">
        <w:rPr>
          <w:rFonts w:ascii="Arial" w:hAnsi="Arial" w:cs="Arial"/>
          <w:sz w:val="22"/>
          <w:szCs w:val="22"/>
        </w:rPr>
        <w:t>examined</w:t>
      </w:r>
      <w:r w:rsidRPr="0051437A">
        <w:rPr>
          <w:rFonts w:ascii="Arial" w:hAnsi="Arial" w:cs="Arial"/>
          <w:sz w:val="22"/>
          <w:szCs w:val="22"/>
        </w:rPr>
        <w:t>.  The ICPA must provide an estimate of the number of additional hours and the resulting fee.  The legislative auditor will consider the nature of the additional work and the related cost and will determine whether to amend the engagement contract.</w:t>
      </w:r>
    </w:p>
    <w:sectPr w:rsidR="00070479" w:rsidRPr="0051437A" w:rsidSect="003F0B6E">
      <w:headerReference w:type="even" r:id="rId12"/>
      <w:headerReference w:type="default" r:id="rId13"/>
      <w:footerReference w:type="even" r:id="rId14"/>
      <w:footerReference w:type="default" r:id="rId15"/>
      <w:headerReference w:type="first" r:id="rId16"/>
      <w:footerReference w:type="first" r:id="rId17"/>
      <w:pgSz w:w="12240" w:h="15840" w:code="1"/>
      <w:pgMar w:top="1440" w:right="1080" w:bottom="1440" w:left="1080"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0F5FD" w14:textId="77777777" w:rsidR="00CF12D5" w:rsidRDefault="00CF12D5">
      <w:r>
        <w:separator/>
      </w:r>
    </w:p>
  </w:endnote>
  <w:endnote w:type="continuationSeparator" w:id="0">
    <w:p w14:paraId="6F454CEA" w14:textId="77777777" w:rsidR="00CF12D5" w:rsidRDefault="00CF12D5">
      <w:r>
        <w:continuationSeparator/>
      </w:r>
    </w:p>
  </w:endnote>
  <w:endnote w:type="continuationNotice" w:id="1">
    <w:p w14:paraId="577EEEFB" w14:textId="77777777" w:rsidR="00CF12D5" w:rsidRDefault="00CF12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1D0D" w14:textId="77777777" w:rsidR="00BC517D" w:rsidRDefault="00BC517D" w:rsidP="00AF622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28FD514B" w14:textId="77777777" w:rsidR="00BC517D" w:rsidRDefault="00BC517D" w:rsidP="00AF622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A772C" w14:textId="4478C404" w:rsidR="00BC517D" w:rsidRPr="00987F38" w:rsidRDefault="00BC517D" w:rsidP="00AF622E">
    <w:pPr>
      <w:pStyle w:val="Footer"/>
      <w:tabs>
        <w:tab w:val="clear" w:pos="4320"/>
        <w:tab w:val="clear" w:pos="8640"/>
        <w:tab w:val="right" w:pos="9360"/>
      </w:tabs>
      <w:rPr>
        <w:rFonts w:ascii="Arial" w:hAnsi="Arial" w:cs="Arial"/>
        <w:sz w:val="18"/>
        <w:szCs w:val="18"/>
      </w:rPr>
    </w:pPr>
    <w:r>
      <w:rPr>
        <w:rFonts w:ascii="Arial" w:hAnsi="Arial" w:cs="Arial"/>
        <w:sz w:val="18"/>
        <w:szCs w:val="18"/>
      </w:rPr>
      <w:t>Rev</w:t>
    </w:r>
    <w:r w:rsidR="00C856B1">
      <w:rPr>
        <w:rFonts w:ascii="Arial" w:hAnsi="Arial" w:cs="Arial"/>
        <w:sz w:val="18"/>
        <w:szCs w:val="18"/>
      </w:rPr>
      <w:t>ised:</w:t>
    </w:r>
    <w:r>
      <w:rPr>
        <w:rFonts w:ascii="Arial" w:hAnsi="Arial" w:cs="Arial"/>
        <w:sz w:val="18"/>
        <w:szCs w:val="18"/>
      </w:rPr>
      <w:t xml:space="preserve"> </w:t>
    </w:r>
    <w:r w:rsidR="00296DCA">
      <w:rPr>
        <w:rFonts w:ascii="Arial" w:hAnsi="Arial" w:cs="Arial"/>
        <w:sz w:val="18"/>
        <w:szCs w:val="18"/>
      </w:rPr>
      <w:t>4/</w:t>
    </w:r>
    <w:r w:rsidR="000A1889">
      <w:rPr>
        <w:rFonts w:ascii="Arial" w:hAnsi="Arial" w:cs="Arial"/>
        <w:sz w:val="18"/>
        <w:szCs w:val="18"/>
      </w:rPr>
      <w:t>1</w:t>
    </w:r>
    <w:r w:rsidR="008D1812">
      <w:rPr>
        <w:rFonts w:ascii="Arial" w:hAnsi="Arial" w:cs="Arial"/>
        <w:sz w:val="18"/>
        <w:szCs w:val="18"/>
      </w:rPr>
      <w:t>9</w:t>
    </w:r>
    <w:r w:rsidR="00C856B1">
      <w:rPr>
        <w:rFonts w:ascii="Arial" w:hAnsi="Arial" w:cs="Arial"/>
        <w:sz w:val="18"/>
        <w:szCs w:val="18"/>
      </w:rPr>
      <w:t>/2022</w:t>
    </w:r>
    <w:r w:rsidR="00C856B1">
      <w:rPr>
        <w:rFonts w:ascii="Arial" w:hAnsi="Arial" w:cs="Arial"/>
        <w:sz w:val="18"/>
        <w:szCs w:val="18"/>
      </w:rPr>
      <w:tab/>
    </w:r>
    <w:r w:rsidRPr="00987F38">
      <w:rPr>
        <w:rFonts w:ascii="Arial" w:hAnsi="Arial" w:cs="Arial"/>
        <w:sz w:val="18"/>
        <w:szCs w:val="18"/>
      </w:rPr>
      <w:t xml:space="preserve">Page </w:t>
    </w:r>
    <w:r w:rsidRPr="00987F38">
      <w:rPr>
        <w:rStyle w:val="PageNumber"/>
        <w:rFonts w:ascii="Arial" w:hAnsi="Arial" w:cs="Arial"/>
        <w:sz w:val="18"/>
        <w:szCs w:val="18"/>
      </w:rPr>
      <w:fldChar w:fldCharType="begin"/>
    </w:r>
    <w:r w:rsidRPr="00987F38">
      <w:rPr>
        <w:rStyle w:val="PageNumber"/>
        <w:rFonts w:ascii="Arial" w:hAnsi="Arial" w:cs="Arial"/>
        <w:sz w:val="18"/>
        <w:szCs w:val="18"/>
      </w:rPr>
      <w:instrText xml:space="preserve"> PAGE </w:instrText>
    </w:r>
    <w:r w:rsidRPr="00987F38">
      <w:rPr>
        <w:rStyle w:val="PageNumber"/>
        <w:rFonts w:ascii="Arial" w:hAnsi="Arial" w:cs="Arial"/>
        <w:sz w:val="18"/>
        <w:szCs w:val="18"/>
      </w:rPr>
      <w:fldChar w:fldCharType="separate"/>
    </w:r>
    <w:r>
      <w:rPr>
        <w:rStyle w:val="PageNumber"/>
        <w:rFonts w:ascii="Arial" w:hAnsi="Arial" w:cs="Arial"/>
        <w:noProof/>
        <w:sz w:val="18"/>
        <w:szCs w:val="18"/>
      </w:rPr>
      <w:t>5</w:t>
    </w:r>
    <w:r w:rsidRPr="00987F38">
      <w:rPr>
        <w:rStyle w:val="PageNumber"/>
        <w:rFonts w:ascii="Arial" w:hAnsi="Arial" w:cs="Arial"/>
        <w:sz w:val="18"/>
        <w:szCs w:val="18"/>
      </w:rPr>
      <w:fldChar w:fldCharType="end"/>
    </w:r>
    <w:r w:rsidRPr="00987F38">
      <w:rPr>
        <w:rStyle w:val="PageNumber"/>
        <w:rFonts w:ascii="Arial" w:hAnsi="Arial" w:cs="Arial"/>
        <w:sz w:val="18"/>
        <w:szCs w:val="18"/>
      </w:rPr>
      <w:t xml:space="preserve"> of </w:t>
    </w:r>
    <w:r w:rsidRPr="00987F38">
      <w:rPr>
        <w:rStyle w:val="PageNumber"/>
        <w:rFonts w:ascii="Arial" w:hAnsi="Arial" w:cs="Arial"/>
        <w:sz w:val="18"/>
        <w:szCs w:val="18"/>
      </w:rPr>
      <w:fldChar w:fldCharType="begin"/>
    </w:r>
    <w:r w:rsidRPr="00987F38">
      <w:rPr>
        <w:rStyle w:val="PageNumber"/>
        <w:rFonts w:ascii="Arial" w:hAnsi="Arial" w:cs="Arial"/>
        <w:sz w:val="18"/>
        <w:szCs w:val="18"/>
      </w:rPr>
      <w:instrText xml:space="preserve"> NUMPAGES </w:instrText>
    </w:r>
    <w:r w:rsidRPr="00987F38">
      <w:rPr>
        <w:rStyle w:val="PageNumber"/>
        <w:rFonts w:ascii="Arial" w:hAnsi="Arial" w:cs="Arial"/>
        <w:sz w:val="18"/>
        <w:szCs w:val="18"/>
      </w:rPr>
      <w:fldChar w:fldCharType="separate"/>
    </w:r>
    <w:r>
      <w:rPr>
        <w:rStyle w:val="PageNumber"/>
        <w:rFonts w:ascii="Arial" w:hAnsi="Arial" w:cs="Arial"/>
        <w:noProof/>
        <w:sz w:val="18"/>
        <w:szCs w:val="18"/>
      </w:rPr>
      <w:t>16</w:t>
    </w:r>
    <w:r w:rsidRPr="00987F38">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C0E0A" w14:textId="77777777" w:rsidR="008D1812" w:rsidRDefault="008D18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00FF7" w14:textId="77777777" w:rsidR="00CF12D5" w:rsidRDefault="00CF12D5">
      <w:r>
        <w:separator/>
      </w:r>
    </w:p>
  </w:footnote>
  <w:footnote w:type="continuationSeparator" w:id="0">
    <w:p w14:paraId="1FB2F46E" w14:textId="77777777" w:rsidR="00CF12D5" w:rsidRDefault="00CF12D5">
      <w:r>
        <w:continuationSeparator/>
      </w:r>
    </w:p>
  </w:footnote>
  <w:footnote w:type="continuationNotice" w:id="1">
    <w:p w14:paraId="5B64F2AC" w14:textId="77777777" w:rsidR="00CF12D5" w:rsidRDefault="00CF12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97F46" w14:textId="77777777" w:rsidR="008D1812" w:rsidRDefault="008D1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025B6" w14:textId="77777777" w:rsidR="00B115FB" w:rsidRDefault="00B115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16832" w14:textId="77777777" w:rsidR="008D1812" w:rsidRDefault="008D18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CDB2C51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61405D"/>
    <w:multiLevelType w:val="singleLevel"/>
    <w:tmpl w:val="604E2394"/>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9D17AD"/>
    <w:multiLevelType w:val="hybridMultilevel"/>
    <w:tmpl w:val="34921B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BE6FC0"/>
    <w:multiLevelType w:val="hybridMultilevel"/>
    <w:tmpl w:val="BE4ABD3A"/>
    <w:lvl w:ilvl="0" w:tplc="0409000B">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4E6E5D"/>
    <w:multiLevelType w:val="hybridMultilevel"/>
    <w:tmpl w:val="64F48052"/>
    <w:lvl w:ilvl="0" w:tplc="27F8CA1C">
      <w:start w:val="1"/>
      <w:numFmt w:val="decimal"/>
      <w:lvlText w:val="%1."/>
      <w:lvlJc w:val="left"/>
      <w:pPr>
        <w:tabs>
          <w:tab w:val="num" w:pos="720"/>
        </w:tabs>
        <w:ind w:left="720" w:hanging="360"/>
      </w:pPr>
      <w:rPr>
        <w:color w:val="auto"/>
      </w:rPr>
    </w:lvl>
    <w:lvl w:ilvl="1" w:tplc="58D8E754">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FC7F6F"/>
    <w:multiLevelType w:val="hybridMultilevel"/>
    <w:tmpl w:val="977A8EE0"/>
    <w:lvl w:ilvl="0" w:tplc="04090017">
      <w:start w:val="1"/>
      <w:numFmt w:val="low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0F6539C9"/>
    <w:multiLevelType w:val="hybridMultilevel"/>
    <w:tmpl w:val="600896D8"/>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33B779C"/>
    <w:multiLevelType w:val="hybridMultilevel"/>
    <w:tmpl w:val="B7665780"/>
    <w:lvl w:ilvl="0" w:tplc="4072C224">
      <w:start w:val="2"/>
      <w:numFmt w:val="upperLetter"/>
      <w:lvlText w:val="%1."/>
      <w:lvlJc w:val="left"/>
      <w:pPr>
        <w:tabs>
          <w:tab w:val="num" w:pos="720"/>
        </w:tabs>
        <w:ind w:left="720" w:hanging="360"/>
      </w:pPr>
      <w:rPr>
        <w:rFonts w:hint="default"/>
        <w:color w:val="000000"/>
      </w:rPr>
    </w:lvl>
    <w:lvl w:ilvl="1" w:tplc="DF3EE444">
      <w:start w:val="2"/>
      <w:numFmt w:val="upperLetter"/>
      <w:lvlText w:val="%2."/>
      <w:lvlJc w:val="left"/>
      <w:pPr>
        <w:tabs>
          <w:tab w:val="num" w:pos="1170"/>
        </w:tabs>
        <w:ind w:left="1170" w:hanging="360"/>
      </w:pPr>
      <w:rPr>
        <w:rFonts w:hint="default"/>
      </w:rPr>
    </w:lvl>
    <w:lvl w:ilvl="2" w:tplc="2A741900">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CF2238"/>
    <w:multiLevelType w:val="hybridMultilevel"/>
    <w:tmpl w:val="10D6595C"/>
    <w:lvl w:ilvl="0" w:tplc="04090017">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170"/>
        </w:tabs>
        <w:ind w:left="1170" w:hanging="360"/>
      </w:p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1B2A49E9"/>
    <w:multiLevelType w:val="hybridMultilevel"/>
    <w:tmpl w:val="4C362B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9D18D8"/>
    <w:multiLevelType w:val="hybridMultilevel"/>
    <w:tmpl w:val="F6A020F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29B59D3"/>
    <w:multiLevelType w:val="hybridMultilevel"/>
    <w:tmpl w:val="42C04A1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6CA50C1"/>
    <w:multiLevelType w:val="singleLevel"/>
    <w:tmpl w:val="422E6A06"/>
    <w:lvl w:ilvl="0">
      <w:start w:val="1"/>
      <w:numFmt w:val="decimal"/>
      <w:lvlText w:val="%1."/>
      <w:lvlJc w:val="left"/>
      <w:pPr>
        <w:tabs>
          <w:tab w:val="num" w:pos="1080"/>
        </w:tabs>
        <w:ind w:left="1080" w:hanging="360"/>
      </w:pPr>
      <w:rPr>
        <w:rFonts w:ascii="Arial" w:hAnsi="Arial" w:hint="default"/>
        <w:b w:val="0"/>
        <w:i w:val="0"/>
        <w:sz w:val="22"/>
      </w:rPr>
    </w:lvl>
  </w:abstractNum>
  <w:abstractNum w:abstractNumId="14" w15:restartNumberingAfterBreak="0">
    <w:nsid w:val="2724480C"/>
    <w:multiLevelType w:val="hybridMultilevel"/>
    <w:tmpl w:val="58E4B9D4"/>
    <w:lvl w:ilvl="0" w:tplc="B650C8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FC1712"/>
    <w:multiLevelType w:val="hybridMultilevel"/>
    <w:tmpl w:val="74B481F8"/>
    <w:lvl w:ilvl="0" w:tplc="FFFFFFFF">
      <w:start w:val="1"/>
      <w:numFmt w:val="bullet"/>
      <w:lvlText w:val=""/>
      <w:legacy w:legacy="1" w:legacySpace="0" w:legacyIndent="360"/>
      <w:lvlJc w:val="left"/>
      <w:pPr>
        <w:ind w:left="1036" w:hanging="360"/>
      </w:pPr>
      <w:rPr>
        <w:rFonts w:ascii="Symbol" w:hAnsi="Symbol" w:hint="default"/>
        <w:sz w:val="24"/>
      </w:rPr>
    </w:lvl>
    <w:lvl w:ilvl="1" w:tplc="04090003">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6" w15:restartNumberingAfterBreak="0">
    <w:nsid w:val="2B3A0D9C"/>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B1556"/>
    <w:multiLevelType w:val="hybridMultilevel"/>
    <w:tmpl w:val="63785B3A"/>
    <w:lvl w:ilvl="0" w:tplc="2EAAA82C">
      <w:start w:val="1"/>
      <w:numFmt w:val="bullet"/>
      <w:lvlText w:val="o"/>
      <w:lvlJc w:val="left"/>
      <w:pPr>
        <w:ind w:left="1368" w:hanging="360"/>
      </w:pPr>
      <w:rPr>
        <w:rFonts w:ascii="Courier New" w:hAnsi="Courier New" w:hint="default"/>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18" w15:restartNumberingAfterBreak="0">
    <w:nsid w:val="2F591F62"/>
    <w:multiLevelType w:val="hybridMultilevel"/>
    <w:tmpl w:val="4DF07E10"/>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170"/>
        </w:tabs>
        <w:ind w:left="1170" w:hanging="360"/>
      </w:pPr>
      <w:rPr>
        <w:rFonts w:ascii="Wingdings" w:hAnsi="Wingdings" w:hint="default"/>
      </w:rPr>
    </w:lvl>
    <w:lvl w:ilvl="2" w:tplc="04090001">
      <w:start w:val="1"/>
      <w:numFmt w:val="bullet"/>
      <w:lvlText w:val=""/>
      <w:lvlJc w:val="left"/>
      <w:pPr>
        <w:tabs>
          <w:tab w:val="num" w:pos="1170"/>
        </w:tabs>
        <w:ind w:left="117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15:restartNumberingAfterBreak="0">
    <w:nsid w:val="318D34A6"/>
    <w:multiLevelType w:val="hybridMultilevel"/>
    <w:tmpl w:val="0FFCB61A"/>
    <w:lvl w:ilvl="0" w:tplc="04090001">
      <w:start w:val="1"/>
      <w:numFmt w:val="bullet"/>
      <w:lvlText w:val=""/>
      <w:lvlJc w:val="left"/>
      <w:pPr>
        <w:tabs>
          <w:tab w:val="num" w:pos="1080"/>
        </w:tabs>
        <w:ind w:left="1080" w:hanging="360"/>
      </w:pPr>
      <w:rPr>
        <w:rFonts w:ascii="Symbol" w:hAnsi="Symbol" w:hint="default"/>
      </w:rPr>
    </w:lvl>
    <w:lvl w:ilvl="1" w:tplc="DF3EE444">
      <w:start w:val="2"/>
      <w:numFmt w:val="upperLetter"/>
      <w:lvlText w:val="%2."/>
      <w:lvlJc w:val="left"/>
      <w:pPr>
        <w:tabs>
          <w:tab w:val="num" w:pos="1170"/>
        </w:tabs>
        <w:ind w:left="1170" w:hanging="360"/>
      </w:pPr>
      <w:rPr>
        <w:rFonts w:hint="default"/>
      </w:rPr>
    </w:lvl>
    <w:lvl w:ilvl="2" w:tplc="2A741900">
      <w:start w:val="3"/>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6690FC2"/>
    <w:multiLevelType w:val="hybridMultilevel"/>
    <w:tmpl w:val="E5FECF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B1F4329"/>
    <w:multiLevelType w:val="singleLevel"/>
    <w:tmpl w:val="9E5C9DFC"/>
    <w:lvl w:ilvl="0">
      <w:start w:val="1"/>
      <w:numFmt w:val="lowerLetter"/>
      <w:lvlText w:val="%1."/>
      <w:lvlJc w:val="left"/>
      <w:pPr>
        <w:tabs>
          <w:tab w:val="num" w:pos="360"/>
        </w:tabs>
        <w:ind w:left="360" w:hanging="360"/>
      </w:pPr>
      <w:rPr>
        <w:rFonts w:ascii="Arial" w:hAnsi="Arial" w:hint="default"/>
        <w:b w:val="0"/>
        <w:i w:val="0"/>
        <w:sz w:val="22"/>
      </w:rPr>
    </w:lvl>
  </w:abstractNum>
  <w:abstractNum w:abstractNumId="22" w15:restartNumberingAfterBreak="0">
    <w:nsid w:val="3EC963B0"/>
    <w:multiLevelType w:val="hybridMultilevel"/>
    <w:tmpl w:val="DF02FEAE"/>
    <w:lvl w:ilvl="0" w:tplc="04090017">
      <w:start w:val="1"/>
      <w:numFmt w:val="lowerLetter"/>
      <w:lvlText w:val="%1)"/>
      <w:lvlJc w:val="left"/>
      <w:pPr>
        <w:tabs>
          <w:tab w:val="num" w:pos="1440"/>
        </w:tabs>
        <w:ind w:left="1440" w:hanging="360"/>
      </w:pPr>
      <w:rPr>
        <w:rFonts w:hint="default"/>
        <w:color w:val="auto"/>
      </w:rPr>
    </w:lvl>
    <w:lvl w:ilvl="1" w:tplc="2EAAA82C">
      <w:start w:val="1"/>
      <w:numFmt w:val="bullet"/>
      <w:lvlText w:val="o"/>
      <w:lvlJc w:val="left"/>
      <w:pPr>
        <w:tabs>
          <w:tab w:val="num" w:pos="108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E93DEF"/>
    <w:multiLevelType w:val="hybridMultilevel"/>
    <w:tmpl w:val="46406F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2423180"/>
    <w:multiLevelType w:val="hybridMultilevel"/>
    <w:tmpl w:val="13BA2406"/>
    <w:lvl w:ilvl="0" w:tplc="64741028">
      <w:start w:val="2"/>
      <w:numFmt w:val="decimal"/>
      <w:lvlText w:val="%1."/>
      <w:lvlJc w:val="left"/>
      <w:pPr>
        <w:tabs>
          <w:tab w:val="num" w:pos="360"/>
        </w:tabs>
        <w:ind w:left="360" w:hanging="360"/>
      </w:pPr>
      <w:rPr>
        <w:rFonts w:hint="default"/>
        <w:b w:val="0"/>
        <w:i w:val="0"/>
      </w:rPr>
    </w:lvl>
    <w:lvl w:ilvl="1" w:tplc="04090017">
      <w:start w:val="1"/>
      <w:numFmt w:val="lowerLetter"/>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15:restartNumberingAfterBreak="0">
    <w:nsid w:val="42E17841"/>
    <w:multiLevelType w:val="hybridMultilevel"/>
    <w:tmpl w:val="2F0AEC62"/>
    <w:lvl w:ilvl="0" w:tplc="0409000B">
      <w:start w:val="1"/>
      <w:numFmt w:val="bullet"/>
      <w:lvlText w:val=""/>
      <w:lvlJc w:val="left"/>
      <w:pPr>
        <w:ind w:left="1192" w:hanging="360"/>
      </w:pPr>
      <w:rPr>
        <w:rFonts w:ascii="Wingdings" w:hAnsi="Wingdings" w:hint="default"/>
      </w:rPr>
    </w:lvl>
    <w:lvl w:ilvl="1" w:tplc="04090003" w:tentative="1">
      <w:start w:val="1"/>
      <w:numFmt w:val="bullet"/>
      <w:lvlText w:val="o"/>
      <w:lvlJc w:val="left"/>
      <w:pPr>
        <w:ind w:left="1912" w:hanging="360"/>
      </w:pPr>
      <w:rPr>
        <w:rFonts w:ascii="Courier New" w:hAnsi="Courier New" w:cs="Courier New" w:hint="default"/>
      </w:rPr>
    </w:lvl>
    <w:lvl w:ilvl="2" w:tplc="04090005" w:tentative="1">
      <w:start w:val="1"/>
      <w:numFmt w:val="bullet"/>
      <w:lvlText w:val=""/>
      <w:lvlJc w:val="left"/>
      <w:pPr>
        <w:ind w:left="2632" w:hanging="360"/>
      </w:pPr>
      <w:rPr>
        <w:rFonts w:ascii="Wingdings" w:hAnsi="Wingdings" w:hint="default"/>
      </w:rPr>
    </w:lvl>
    <w:lvl w:ilvl="3" w:tplc="04090001" w:tentative="1">
      <w:start w:val="1"/>
      <w:numFmt w:val="bullet"/>
      <w:lvlText w:val=""/>
      <w:lvlJc w:val="left"/>
      <w:pPr>
        <w:ind w:left="3352" w:hanging="360"/>
      </w:pPr>
      <w:rPr>
        <w:rFonts w:ascii="Symbol" w:hAnsi="Symbol" w:hint="default"/>
      </w:rPr>
    </w:lvl>
    <w:lvl w:ilvl="4" w:tplc="04090003" w:tentative="1">
      <w:start w:val="1"/>
      <w:numFmt w:val="bullet"/>
      <w:lvlText w:val="o"/>
      <w:lvlJc w:val="left"/>
      <w:pPr>
        <w:ind w:left="4072" w:hanging="360"/>
      </w:pPr>
      <w:rPr>
        <w:rFonts w:ascii="Courier New" w:hAnsi="Courier New" w:cs="Courier New" w:hint="default"/>
      </w:rPr>
    </w:lvl>
    <w:lvl w:ilvl="5" w:tplc="04090005" w:tentative="1">
      <w:start w:val="1"/>
      <w:numFmt w:val="bullet"/>
      <w:lvlText w:val=""/>
      <w:lvlJc w:val="left"/>
      <w:pPr>
        <w:ind w:left="4792" w:hanging="360"/>
      </w:pPr>
      <w:rPr>
        <w:rFonts w:ascii="Wingdings" w:hAnsi="Wingdings" w:hint="default"/>
      </w:rPr>
    </w:lvl>
    <w:lvl w:ilvl="6" w:tplc="04090001" w:tentative="1">
      <w:start w:val="1"/>
      <w:numFmt w:val="bullet"/>
      <w:lvlText w:val=""/>
      <w:lvlJc w:val="left"/>
      <w:pPr>
        <w:ind w:left="5512" w:hanging="360"/>
      </w:pPr>
      <w:rPr>
        <w:rFonts w:ascii="Symbol" w:hAnsi="Symbol" w:hint="default"/>
      </w:rPr>
    </w:lvl>
    <w:lvl w:ilvl="7" w:tplc="04090003" w:tentative="1">
      <w:start w:val="1"/>
      <w:numFmt w:val="bullet"/>
      <w:lvlText w:val="o"/>
      <w:lvlJc w:val="left"/>
      <w:pPr>
        <w:ind w:left="6232" w:hanging="360"/>
      </w:pPr>
      <w:rPr>
        <w:rFonts w:ascii="Courier New" w:hAnsi="Courier New" w:cs="Courier New" w:hint="default"/>
      </w:rPr>
    </w:lvl>
    <w:lvl w:ilvl="8" w:tplc="04090005" w:tentative="1">
      <w:start w:val="1"/>
      <w:numFmt w:val="bullet"/>
      <w:lvlText w:val=""/>
      <w:lvlJc w:val="left"/>
      <w:pPr>
        <w:ind w:left="6952" w:hanging="360"/>
      </w:pPr>
      <w:rPr>
        <w:rFonts w:ascii="Wingdings" w:hAnsi="Wingdings" w:hint="default"/>
      </w:rPr>
    </w:lvl>
  </w:abstractNum>
  <w:abstractNum w:abstractNumId="26" w15:restartNumberingAfterBreak="0">
    <w:nsid w:val="42E47485"/>
    <w:multiLevelType w:val="hybridMultilevel"/>
    <w:tmpl w:val="2E385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AE1626C"/>
    <w:multiLevelType w:val="singleLevel"/>
    <w:tmpl w:val="73585BD4"/>
    <w:lvl w:ilvl="0">
      <w:start w:val="1"/>
      <w:numFmt w:val="lowerLetter"/>
      <w:lvlText w:val="%1."/>
      <w:lvlJc w:val="left"/>
      <w:pPr>
        <w:tabs>
          <w:tab w:val="num" w:pos="360"/>
        </w:tabs>
        <w:ind w:left="360" w:hanging="360"/>
      </w:pPr>
      <w:rPr>
        <w:rFonts w:ascii="Arial" w:hAnsi="Arial" w:hint="default"/>
        <w:b w:val="0"/>
        <w:i w:val="0"/>
        <w:sz w:val="22"/>
      </w:rPr>
    </w:lvl>
  </w:abstractNum>
  <w:abstractNum w:abstractNumId="28" w15:restartNumberingAfterBreak="0">
    <w:nsid w:val="4E4F6A60"/>
    <w:multiLevelType w:val="hybridMultilevel"/>
    <w:tmpl w:val="3FDA03A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133AC8"/>
    <w:multiLevelType w:val="hybridMultilevel"/>
    <w:tmpl w:val="52D406C0"/>
    <w:lvl w:ilvl="0" w:tplc="08B09000">
      <w:start w:val="1"/>
      <w:numFmt w:val="decimal"/>
      <w:lvlText w:val="%1."/>
      <w:lvlJc w:val="left"/>
      <w:pPr>
        <w:tabs>
          <w:tab w:val="num" w:pos="1080"/>
        </w:tabs>
        <w:ind w:left="1080" w:hanging="360"/>
      </w:pPr>
      <w:rPr>
        <w:rFonts w:ascii="Arial" w:hAnsi="Arial" w:hint="default"/>
        <w:b w:val="0"/>
        <w:i w:val="0"/>
        <w:sz w:val="22"/>
        <w:szCs w:val="22"/>
      </w:rPr>
    </w:lvl>
    <w:lvl w:ilvl="1" w:tplc="8A4E5E7C">
      <w:start w:val="1"/>
      <w:numFmt w:val="lowerLetter"/>
      <w:lvlText w:val="%2."/>
      <w:lvlJc w:val="left"/>
      <w:pPr>
        <w:tabs>
          <w:tab w:val="num" w:pos="1440"/>
        </w:tabs>
        <w:ind w:left="1440" w:hanging="360"/>
      </w:pPr>
      <w:rPr>
        <w:rFonts w:hint="default"/>
        <w:b w:val="0"/>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246A63"/>
    <w:multiLevelType w:val="multilevel"/>
    <w:tmpl w:val="B55AC6B0"/>
    <w:lvl w:ilvl="0">
      <w:start w:val="1"/>
      <w:numFmt w:val="decimal"/>
      <w:lvlText w:val="%1."/>
      <w:lvlJc w:val="left"/>
      <w:pPr>
        <w:tabs>
          <w:tab w:val="num" w:pos="360"/>
        </w:tabs>
        <w:ind w:left="360" w:hanging="360"/>
      </w:pPr>
      <w:rPr>
        <w:b w:val="0"/>
        <w:i w:val="0"/>
        <w:sz w:val="24"/>
      </w:rPr>
    </w:lvl>
    <w:lvl w:ilvl="1">
      <w:start w:val="1"/>
      <w:numFmt w:val="lowerLetter"/>
      <w:lvlText w:val="%2."/>
      <w:lvlJc w:val="left"/>
      <w:pPr>
        <w:tabs>
          <w:tab w:val="num" w:pos="720"/>
        </w:tabs>
        <w:ind w:left="720" w:hanging="360"/>
      </w:pPr>
      <w:rPr>
        <w:rFonts w:ascii="Arial" w:hAnsi="Arial" w:hint="default"/>
        <w:b w:val="0"/>
        <w:i w:val="0"/>
        <w:sz w:val="22"/>
      </w:rPr>
    </w:lvl>
    <w:lvl w:ilvl="2">
      <w:start w:val="1"/>
      <w:numFmt w:val="lowerRoman"/>
      <w:lvlText w:val="%3)"/>
      <w:lvlJc w:val="left"/>
      <w:pPr>
        <w:tabs>
          <w:tab w:val="num" w:pos="1440"/>
        </w:tabs>
        <w:ind w:left="1440" w:hanging="720"/>
      </w:pPr>
      <w:rPr>
        <w:rFonts w:ascii="Arial" w:hAnsi="Arial" w:hint="default"/>
        <w:b w:val="0"/>
        <w:i w:val="0"/>
        <w:sz w:val="22"/>
      </w:rPr>
    </w:lvl>
    <w:lvl w:ilvl="3">
      <w:start w:val="1"/>
      <w:numFmt w:val="lowerLetter"/>
      <w:lvlText w:val="%4)"/>
      <w:lvlJc w:val="left"/>
      <w:pPr>
        <w:tabs>
          <w:tab w:val="num" w:pos="216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31" w15:restartNumberingAfterBreak="0">
    <w:nsid w:val="56111B7C"/>
    <w:multiLevelType w:val="hybridMultilevel"/>
    <w:tmpl w:val="BE5EB97C"/>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568855D4"/>
    <w:multiLevelType w:val="singleLevel"/>
    <w:tmpl w:val="DFBA622E"/>
    <w:lvl w:ilvl="0">
      <w:start w:val="1"/>
      <w:numFmt w:val="decimal"/>
      <w:lvlText w:val="%1."/>
      <w:lvlJc w:val="left"/>
      <w:pPr>
        <w:tabs>
          <w:tab w:val="num" w:pos="1080"/>
        </w:tabs>
        <w:ind w:left="1080" w:hanging="360"/>
      </w:pPr>
      <w:rPr>
        <w:rFonts w:ascii="Arial" w:hAnsi="Arial" w:hint="default"/>
        <w:b w:val="0"/>
        <w:i w:val="0"/>
        <w:sz w:val="22"/>
      </w:rPr>
    </w:lvl>
  </w:abstractNum>
  <w:abstractNum w:abstractNumId="33" w15:restartNumberingAfterBreak="0">
    <w:nsid w:val="568D2223"/>
    <w:multiLevelType w:val="hybridMultilevel"/>
    <w:tmpl w:val="774E7D7C"/>
    <w:lvl w:ilvl="0" w:tplc="04090017">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810"/>
        </w:tabs>
        <w:ind w:left="810" w:hanging="360"/>
      </w:p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15:restartNumberingAfterBreak="0">
    <w:nsid w:val="5716289E"/>
    <w:multiLevelType w:val="singleLevel"/>
    <w:tmpl w:val="E7765CA6"/>
    <w:lvl w:ilvl="0">
      <w:start w:val="6"/>
      <w:numFmt w:val="decimal"/>
      <w:lvlText w:val="%1."/>
      <w:lvlJc w:val="left"/>
      <w:pPr>
        <w:tabs>
          <w:tab w:val="num" w:pos="1080"/>
        </w:tabs>
        <w:ind w:left="1080" w:hanging="360"/>
      </w:pPr>
      <w:rPr>
        <w:rFonts w:ascii="Arial" w:hAnsi="Arial" w:hint="default"/>
        <w:b w:val="0"/>
        <w:i w:val="0"/>
        <w:sz w:val="22"/>
      </w:rPr>
    </w:lvl>
  </w:abstractNum>
  <w:abstractNum w:abstractNumId="35" w15:restartNumberingAfterBreak="0">
    <w:nsid w:val="5D2F2460"/>
    <w:multiLevelType w:val="hybridMultilevel"/>
    <w:tmpl w:val="9642FCA6"/>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5D4448CB"/>
    <w:multiLevelType w:val="hybridMultilevel"/>
    <w:tmpl w:val="2E385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6F340F9"/>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9B5EEF"/>
    <w:multiLevelType w:val="hybridMultilevel"/>
    <w:tmpl w:val="88522692"/>
    <w:lvl w:ilvl="0" w:tplc="ABB01270">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D604AA8"/>
    <w:multiLevelType w:val="hybridMultilevel"/>
    <w:tmpl w:val="C92AD8A6"/>
    <w:lvl w:ilvl="0" w:tplc="EBE41468">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6DAA58B2"/>
    <w:multiLevelType w:val="singleLevel"/>
    <w:tmpl w:val="D5082868"/>
    <w:lvl w:ilvl="0">
      <w:start w:val="6"/>
      <w:numFmt w:val="decimal"/>
      <w:lvlText w:val="%1."/>
      <w:lvlJc w:val="left"/>
      <w:pPr>
        <w:tabs>
          <w:tab w:val="num" w:pos="360"/>
        </w:tabs>
        <w:ind w:left="360" w:hanging="360"/>
      </w:pPr>
      <w:rPr>
        <w:rFonts w:ascii="Arial" w:hAnsi="Arial" w:hint="default"/>
        <w:b w:val="0"/>
        <w:i w:val="0"/>
        <w:sz w:val="22"/>
      </w:rPr>
    </w:lvl>
  </w:abstractNum>
  <w:abstractNum w:abstractNumId="41" w15:restartNumberingAfterBreak="0">
    <w:nsid w:val="6E1D10DF"/>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E3C4999"/>
    <w:multiLevelType w:val="multilevel"/>
    <w:tmpl w:val="F54868CC"/>
    <w:lvl w:ilvl="0">
      <w:start w:val="1"/>
      <w:numFmt w:val="decimal"/>
      <w:lvlText w:val="%1."/>
      <w:lvlJc w:val="left"/>
      <w:pPr>
        <w:tabs>
          <w:tab w:val="num" w:pos="1080"/>
        </w:tabs>
        <w:ind w:left="1080" w:hanging="360"/>
      </w:pPr>
      <w:rPr>
        <w:b w:val="0"/>
        <w:i w:val="0"/>
        <w:sz w:val="24"/>
      </w:rPr>
    </w:lvl>
    <w:lvl w:ilvl="1">
      <w:start w:val="1"/>
      <w:numFmt w:val="lowerLetter"/>
      <w:lvlText w:val="%2."/>
      <w:lvlJc w:val="left"/>
      <w:pPr>
        <w:tabs>
          <w:tab w:val="num" w:pos="1440"/>
        </w:tabs>
        <w:ind w:left="1440" w:hanging="360"/>
      </w:pPr>
      <w:rPr>
        <w:rFonts w:ascii="Arial" w:hAnsi="Arial" w:hint="default"/>
        <w:b w:val="0"/>
        <w:i w:val="0"/>
        <w:sz w:val="22"/>
      </w:rPr>
    </w:lvl>
    <w:lvl w:ilvl="2">
      <w:start w:val="1"/>
      <w:numFmt w:val="lowerRoman"/>
      <w:lvlText w:val="%3)"/>
      <w:lvlJc w:val="left"/>
      <w:pPr>
        <w:tabs>
          <w:tab w:val="num" w:pos="2160"/>
        </w:tabs>
        <w:ind w:left="1800" w:hanging="360"/>
      </w:pPr>
      <w:rPr>
        <w:rFonts w:ascii="Arial" w:hAnsi="Arial" w:hint="default"/>
        <w:b w:val="0"/>
        <w:i w:val="0"/>
        <w:sz w:val="22"/>
      </w:rPr>
    </w:lvl>
    <w:lvl w:ilvl="3">
      <w:start w:val="1"/>
      <w:numFmt w:val="lowerLetter"/>
      <w:lvlText w:val="%4)"/>
      <w:lvlJc w:val="left"/>
      <w:pPr>
        <w:tabs>
          <w:tab w:val="num" w:pos="216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43" w15:restartNumberingAfterBreak="0">
    <w:nsid w:val="6F8F149C"/>
    <w:multiLevelType w:val="hybridMultilevel"/>
    <w:tmpl w:val="D21AE886"/>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F8371B"/>
    <w:multiLevelType w:val="multilevel"/>
    <w:tmpl w:val="61E61EFA"/>
    <w:lvl w:ilvl="0">
      <w:start w:val="7"/>
      <w:numFmt w:val="decimal"/>
      <w:lvlText w:val="%1."/>
      <w:lvlJc w:val="left"/>
      <w:pPr>
        <w:tabs>
          <w:tab w:val="num" w:pos="360"/>
        </w:tabs>
        <w:ind w:left="360" w:hanging="360"/>
      </w:pPr>
      <w:rPr>
        <w:b w:val="0"/>
        <w:i w:val="0"/>
        <w:sz w:val="24"/>
      </w:rPr>
    </w:lvl>
    <w:lvl w:ilvl="1">
      <w:start w:val="1"/>
      <w:numFmt w:val="lowerLetter"/>
      <w:lvlText w:val="%2."/>
      <w:lvlJc w:val="left"/>
      <w:pPr>
        <w:tabs>
          <w:tab w:val="num" w:pos="0"/>
        </w:tabs>
        <w:ind w:left="720" w:hanging="360"/>
      </w:pPr>
      <w:rPr>
        <w:b w:val="0"/>
        <w:i w:val="0"/>
        <w:sz w:val="24"/>
      </w:rPr>
    </w:lvl>
    <w:lvl w:ilvl="2">
      <w:start w:val="1"/>
      <w:numFmt w:val="lowerRoman"/>
      <w:lvlText w:val="%3)"/>
      <w:lvlJc w:val="left"/>
      <w:pPr>
        <w:tabs>
          <w:tab w:val="num" w:pos="0"/>
        </w:tabs>
        <w:ind w:left="1440" w:hanging="720"/>
      </w:pPr>
    </w:lvl>
    <w:lvl w:ilvl="3">
      <w:start w:val="1"/>
      <w:numFmt w:val="lowerLetter"/>
      <w:lvlText w:val="%4)"/>
      <w:lvlJc w:val="left"/>
      <w:pPr>
        <w:tabs>
          <w:tab w:val="num" w:pos="2160"/>
        </w:tabs>
        <w:ind w:left="2160" w:hanging="720"/>
      </w:pPr>
    </w:lvl>
    <w:lvl w:ilvl="4">
      <w:start w:val="1"/>
      <w:numFmt w:val="decimal"/>
      <w:lvlText w:val="(%5)"/>
      <w:lvlJc w:val="left"/>
      <w:pPr>
        <w:tabs>
          <w:tab w:val="num" w:pos="0"/>
        </w:tabs>
        <w:ind w:left="2880" w:hanging="720"/>
      </w:pPr>
    </w:lvl>
    <w:lvl w:ilvl="5">
      <w:start w:val="1"/>
      <w:numFmt w:val="lowerLetter"/>
      <w:lvlText w:val="(%6)"/>
      <w:lvlJc w:val="left"/>
      <w:pPr>
        <w:tabs>
          <w:tab w:val="num" w:pos="0"/>
        </w:tabs>
        <w:ind w:left="3600" w:hanging="720"/>
      </w:pPr>
    </w:lvl>
    <w:lvl w:ilvl="6">
      <w:start w:val="1"/>
      <w:numFmt w:val="lowerRoman"/>
      <w:lvlText w:val="(%7)"/>
      <w:lvlJc w:val="left"/>
      <w:pPr>
        <w:tabs>
          <w:tab w:val="num" w:pos="0"/>
        </w:tabs>
        <w:ind w:left="4320" w:hanging="720"/>
      </w:pPr>
    </w:lvl>
    <w:lvl w:ilvl="7">
      <w:start w:val="1"/>
      <w:numFmt w:val="lowerLetter"/>
      <w:lvlText w:val="(%8)"/>
      <w:lvlJc w:val="left"/>
      <w:pPr>
        <w:tabs>
          <w:tab w:val="num" w:pos="0"/>
        </w:tabs>
        <w:ind w:left="5040" w:hanging="720"/>
      </w:pPr>
    </w:lvl>
    <w:lvl w:ilvl="8">
      <w:start w:val="1"/>
      <w:numFmt w:val="lowerRoman"/>
      <w:lvlText w:val="(%9)"/>
      <w:lvlJc w:val="left"/>
      <w:pPr>
        <w:tabs>
          <w:tab w:val="num" w:pos="0"/>
        </w:tabs>
        <w:ind w:left="5760" w:hanging="720"/>
      </w:pPr>
    </w:lvl>
  </w:abstractNum>
  <w:abstractNum w:abstractNumId="45" w15:restartNumberingAfterBreak="0">
    <w:nsid w:val="72A505FB"/>
    <w:multiLevelType w:val="hybridMultilevel"/>
    <w:tmpl w:val="4E84861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810"/>
        </w:tabs>
        <w:ind w:left="810" w:hanging="360"/>
      </w:pPr>
      <w:rPr>
        <w:rFonts w:ascii="Symbol" w:hAnsi="Symbol" w:hint="default"/>
      </w:rPr>
    </w:lvl>
    <w:lvl w:ilvl="2" w:tplc="04090001">
      <w:start w:val="1"/>
      <w:numFmt w:val="bullet"/>
      <w:lvlText w:val=""/>
      <w:lvlJc w:val="left"/>
      <w:pPr>
        <w:tabs>
          <w:tab w:val="num" w:pos="810"/>
        </w:tabs>
        <w:ind w:left="810" w:hanging="360"/>
      </w:pPr>
      <w:rPr>
        <w:rFonts w:ascii="Symbol" w:hAnsi="Symbol"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FB4771A"/>
    <w:multiLevelType w:val="hybridMultilevel"/>
    <w:tmpl w:val="FD3A1DD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360"/>
        <w:lvlJc w:val="left"/>
        <w:pPr>
          <w:ind w:left="936" w:hanging="360"/>
        </w:pPr>
        <w:rPr>
          <w:rFonts w:ascii="Symbol" w:hAnsi="Symbol" w:hint="default"/>
          <w:sz w:val="16"/>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sz w:val="24"/>
        </w:rPr>
      </w:lvl>
    </w:lvlOverride>
  </w:num>
  <w:num w:numId="4">
    <w:abstractNumId w:val="0"/>
  </w:num>
  <w:num w:numId="5">
    <w:abstractNumId w:val="13"/>
  </w:num>
  <w:num w:numId="6">
    <w:abstractNumId w:val="30"/>
  </w:num>
  <w:num w:numId="7">
    <w:abstractNumId w:val="44"/>
  </w:num>
  <w:num w:numId="8">
    <w:abstractNumId w:val="21"/>
  </w:num>
  <w:num w:numId="9">
    <w:abstractNumId w:val="40"/>
  </w:num>
  <w:num w:numId="10">
    <w:abstractNumId w:val="2"/>
  </w:num>
  <w:num w:numId="11">
    <w:abstractNumId w:val="32"/>
  </w:num>
  <w:num w:numId="12">
    <w:abstractNumId w:val="34"/>
  </w:num>
  <w:num w:numId="13">
    <w:abstractNumId w:val="42"/>
  </w:num>
  <w:num w:numId="14">
    <w:abstractNumId w:val="27"/>
  </w:num>
  <w:num w:numId="15">
    <w:abstractNumId w:val="35"/>
  </w:num>
  <w:num w:numId="16">
    <w:abstractNumId w:val="7"/>
  </w:num>
  <w:num w:numId="17">
    <w:abstractNumId w:val="29"/>
  </w:num>
  <w:num w:numId="18">
    <w:abstractNumId w:val="38"/>
  </w:num>
  <w:num w:numId="19">
    <w:abstractNumId w:val="45"/>
  </w:num>
  <w:num w:numId="20">
    <w:abstractNumId w:val="20"/>
  </w:num>
  <w:num w:numId="21">
    <w:abstractNumId w:val="3"/>
  </w:num>
  <w:num w:numId="22">
    <w:abstractNumId w:val="31"/>
  </w:num>
  <w:num w:numId="23">
    <w:abstractNumId w:val="8"/>
  </w:num>
  <w:num w:numId="24">
    <w:abstractNumId w:val="28"/>
  </w:num>
  <w:num w:numId="25">
    <w:abstractNumId w:val="19"/>
  </w:num>
  <w:num w:numId="26">
    <w:abstractNumId w:val="11"/>
  </w:num>
  <w:num w:numId="27">
    <w:abstractNumId w:val="5"/>
  </w:num>
  <w:num w:numId="28">
    <w:abstractNumId w:val="23"/>
  </w:num>
  <w:num w:numId="29">
    <w:abstractNumId w:val="22"/>
  </w:num>
  <w:num w:numId="30">
    <w:abstractNumId w:val="39"/>
  </w:num>
  <w:num w:numId="31">
    <w:abstractNumId w:val="12"/>
  </w:num>
  <w:num w:numId="32">
    <w:abstractNumId w:val="36"/>
  </w:num>
  <w:num w:numId="33">
    <w:abstractNumId w:val="10"/>
  </w:num>
  <w:num w:numId="34">
    <w:abstractNumId w:val="26"/>
  </w:num>
  <w:num w:numId="35">
    <w:abstractNumId w:val="6"/>
  </w:num>
  <w:num w:numId="36">
    <w:abstractNumId w:val="24"/>
  </w:num>
  <w:num w:numId="37">
    <w:abstractNumId w:val="33"/>
  </w:num>
  <w:num w:numId="38">
    <w:abstractNumId w:val="37"/>
  </w:num>
  <w:num w:numId="39">
    <w:abstractNumId w:val="18"/>
  </w:num>
  <w:num w:numId="40">
    <w:abstractNumId w:val="9"/>
  </w:num>
  <w:num w:numId="41">
    <w:abstractNumId w:val="4"/>
  </w:num>
  <w:num w:numId="42">
    <w:abstractNumId w:val="14"/>
  </w:num>
  <w:num w:numId="43">
    <w:abstractNumId w:val="46"/>
  </w:num>
  <w:num w:numId="44">
    <w:abstractNumId w:val="41"/>
  </w:num>
  <w:num w:numId="45">
    <w:abstractNumId w:val="25"/>
  </w:num>
  <w:num w:numId="46">
    <w:abstractNumId w:val="43"/>
  </w:num>
  <w:num w:numId="47">
    <w:abstractNumId w:val="16"/>
  </w:num>
  <w:num w:numId="48">
    <w:abstractNumId w:val="17"/>
  </w:num>
  <w:num w:numId="4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2EF"/>
    <w:rsid w:val="0002627A"/>
    <w:rsid w:val="00030102"/>
    <w:rsid w:val="000400C4"/>
    <w:rsid w:val="0004495B"/>
    <w:rsid w:val="00046B6F"/>
    <w:rsid w:val="00070479"/>
    <w:rsid w:val="000725B0"/>
    <w:rsid w:val="000778F4"/>
    <w:rsid w:val="00083BF8"/>
    <w:rsid w:val="00092943"/>
    <w:rsid w:val="00097910"/>
    <w:rsid w:val="000A1889"/>
    <w:rsid w:val="000B72AF"/>
    <w:rsid w:val="000C364D"/>
    <w:rsid w:val="000D0239"/>
    <w:rsid w:val="000D3BEF"/>
    <w:rsid w:val="000D58A8"/>
    <w:rsid w:val="000D7AA3"/>
    <w:rsid w:val="000E318F"/>
    <w:rsid w:val="0011511F"/>
    <w:rsid w:val="0012240D"/>
    <w:rsid w:val="0013301D"/>
    <w:rsid w:val="00133884"/>
    <w:rsid w:val="001535DF"/>
    <w:rsid w:val="00154D76"/>
    <w:rsid w:val="00170D47"/>
    <w:rsid w:val="001770B5"/>
    <w:rsid w:val="001831B0"/>
    <w:rsid w:val="00196755"/>
    <w:rsid w:val="001A7C92"/>
    <w:rsid w:val="001B64F2"/>
    <w:rsid w:val="001C7DD5"/>
    <w:rsid w:val="001E40A2"/>
    <w:rsid w:val="001F2AB3"/>
    <w:rsid w:val="002151BD"/>
    <w:rsid w:val="002337E7"/>
    <w:rsid w:val="00237028"/>
    <w:rsid w:val="00250C8C"/>
    <w:rsid w:val="002672BD"/>
    <w:rsid w:val="002913D5"/>
    <w:rsid w:val="002967E5"/>
    <w:rsid w:val="00296DCA"/>
    <w:rsid w:val="002A577B"/>
    <w:rsid w:val="002B41FA"/>
    <w:rsid w:val="002D07FF"/>
    <w:rsid w:val="002D7CFF"/>
    <w:rsid w:val="002F1CAD"/>
    <w:rsid w:val="002F1FFA"/>
    <w:rsid w:val="002F6D82"/>
    <w:rsid w:val="00306CCD"/>
    <w:rsid w:val="00307273"/>
    <w:rsid w:val="0032353F"/>
    <w:rsid w:val="00323F07"/>
    <w:rsid w:val="00325EEC"/>
    <w:rsid w:val="003355BF"/>
    <w:rsid w:val="0037256C"/>
    <w:rsid w:val="00383CE8"/>
    <w:rsid w:val="00383D38"/>
    <w:rsid w:val="003C0570"/>
    <w:rsid w:val="003C0C34"/>
    <w:rsid w:val="003C65EB"/>
    <w:rsid w:val="003E3789"/>
    <w:rsid w:val="003E6BF5"/>
    <w:rsid w:val="003F0B6E"/>
    <w:rsid w:val="0040277C"/>
    <w:rsid w:val="00411AA9"/>
    <w:rsid w:val="00415217"/>
    <w:rsid w:val="0043132D"/>
    <w:rsid w:val="004817F3"/>
    <w:rsid w:val="00485CBD"/>
    <w:rsid w:val="004B6A97"/>
    <w:rsid w:val="004C00CE"/>
    <w:rsid w:val="004C5202"/>
    <w:rsid w:val="004D3131"/>
    <w:rsid w:val="004E20C6"/>
    <w:rsid w:val="004F06A4"/>
    <w:rsid w:val="004F29DB"/>
    <w:rsid w:val="004F55D3"/>
    <w:rsid w:val="00505019"/>
    <w:rsid w:val="00512935"/>
    <w:rsid w:val="0051437A"/>
    <w:rsid w:val="00520570"/>
    <w:rsid w:val="00526461"/>
    <w:rsid w:val="00541648"/>
    <w:rsid w:val="005442A1"/>
    <w:rsid w:val="00554187"/>
    <w:rsid w:val="00577AAD"/>
    <w:rsid w:val="00580347"/>
    <w:rsid w:val="0058163D"/>
    <w:rsid w:val="00582D58"/>
    <w:rsid w:val="0059036F"/>
    <w:rsid w:val="005A7A86"/>
    <w:rsid w:val="005B00E2"/>
    <w:rsid w:val="005B0AAD"/>
    <w:rsid w:val="005E69F0"/>
    <w:rsid w:val="005F4340"/>
    <w:rsid w:val="005F52FD"/>
    <w:rsid w:val="00602253"/>
    <w:rsid w:val="00604E5A"/>
    <w:rsid w:val="00610C7F"/>
    <w:rsid w:val="00616E7E"/>
    <w:rsid w:val="0066650D"/>
    <w:rsid w:val="00690DAD"/>
    <w:rsid w:val="00691CF8"/>
    <w:rsid w:val="006C2B8E"/>
    <w:rsid w:val="006C5270"/>
    <w:rsid w:val="006C6E6F"/>
    <w:rsid w:val="006E14E2"/>
    <w:rsid w:val="006E1546"/>
    <w:rsid w:val="00732EC9"/>
    <w:rsid w:val="007452FE"/>
    <w:rsid w:val="00760715"/>
    <w:rsid w:val="0076493A"/>
    <w:rsid w:val="00765B39"/>
    <w:rsid w:val="00770C07"/>
    <w:rsid w:val="007A277E"/>
    <w:rsid w:val="007A3E1D"/>
    <w:rsid w:val="007C67AD"/>
    <w:rsid w:val="007F7F33"/>
    <w:rsid w:val="00804B0A"/>
    <w:rsid w:val="00813675"/>
    <w:rsid w:val="0082228A"/>
    <w:rsid w:val="0082781B"/>
    <w:rsid w:val="00832B15"/>
    <w:rsid w:val="00842E52"/>
    <w:rsid w:val="00860D99"/>
    <w:rsid w:val="008710FD"/>
    <w:rsid w:val="00871473"/>
    <w:rsid w:val="008755DD"/>
    <w:rsid w:val="00885F6D"/>
    <w:rsid w:val="00891D0B"/>
    <w:rsid w:val="00893721"/>
    <w:rsid w:val="008B59A5"/>
    <w:rsid w:val="008D1812"/>
    <w:rsid w:val="008D1E14"/>
    <w:rsid w:val="008D37FA"/>
    <w:rsid w:val="008E6F56"/>
    <w:rsid w:val="008E736F"/>
    <w:rsid w:val="008F087C"/>
    <w:rsid w:val="00912910"/>
    <w:rsid w:val="009135C6"/>
    <w:rsid w:val="0095770F"/>
    <w:rsid w:val="00961844"/>
    <w:rsid w:val="00962B45"/>
    <w:rsid w:val="00974F0B"/>
    <w:rsid w:val="00987F38"/>
    <w:rsid w:val="009A44B1"/>
    <w:rsid w:val="009F256B"/>
    <w:rsid w:val="00A02448"/>
    <w:rsid w:val="00A06C6B"/>
    <w:rsid w:val="00A11D0B"/>
    <w:rsid w:val="00A204BC"/>
    <w:rsid w:val="00A2263F"/>
    <w:rsid w:val="00A47F66"/>
    <w:rsid w:val="00A52EE3"/>
    <w:rsid w:val="00A67BE2"/>
    <w:rsid w:val="00A8635D"/>
    <w:rsid w:val="00A87B0D"/>
    <w:rsid w:val="00A87F54"/>
    <w:rsid w:val="00A97739"/>
    <w:rsid w:val="00AA43AD"/>
    <w:rsid w:val="00AC1124"/>
    <w:rsid w:val="00AD2FDF"/>
    <w:rsid w:val="00AE3269"/>
    <w:rsid w:val="00AE462D"/>
    <w:rsid w:val="00AF016B"/>
    <w:rsid w:val="00AF622E"/>
    <w:rsid w:val="00B04DBB"/>
    <w:rsid w:val="00B07096"/>
    <w:rsid w:val="00B115FB"/>
    <w:rsid w:val="00B1371B"/>
    <w:rsid w:val="00B57A34"/>
    <w:rsid w:val="00B70B10"/>
    <w:rsid w:val="00B95169"/>
    <w:rsid w:val="00BC517D"/>
    <w:rsid w:val="00BD0E2F"/>
    <w:rsid w:val="00BD5FA2"/>
    <w:rsid w:val="00BF64B7"/>
    <w:rsid w:val="00C07E39"/>
    <w:rsid w:val="00C234CF"/>
    <w:rsid w:val="00C637BE"/>
    <w:rsid w:val="00C856B1"/>
    <w:rsid w:val="00CD6F6C"/>
    <w:rsid w:val="00CF0EDA"/>
    <w:rsid w:val="00CF12D5"/>
    <w:rsid w:val="00CF7BF2"/>
    <w:rsid w:val="00D00D6D"/>
    <w:rsid w:val="00D244A4"/>
    <w:rsid w:val="00D270C1"/>
    <w:rsid w:val="00D6241F"/>
    <w:rsid w:val="00D903B9"/>
    <w:rsid w:val="00DB48E3"/>
    <w:rsid w:val="00DC0137"/>
    <w:rsid w:val="00DC0DE2"/>
    <w:rsid w:val="00DE4E7D"/>
    <w:rsid w:val="00DF6573"/>
    <w:rsid w:val="00E278D6"/>
    <w:rsid w:val="00E35E90"/>
    <w:rsid w:val="00E46947"/>
    <w:rsid w:val="00E658CF"/>
    <w:rsid w:val="00E77EFB"/>
    <w:rsid w:val="00EA5C4A"/>
    <w:rsid w:val="00EB40B3"/>
    <w:rsid w:val="00EE200C"/>
    <w:rsid w:val="00EF1892"/>
    <w:rsid w:val="00F03063"/>
    <w:rsid w:val="00F05C5A"/>
    <w:rsid w:val="00F2147E"/>
    <w:rsid w:val="00F225F4"/>
    <w:rsid w:val="00F42ACA"/>
    <w:rsid w:val="00F42ECC"/>
    <w:rsid w:val="00F6214E"/>
    <w:rsid w:val="00F72155"/>
    <w:rsid w:val="00F871DA"/>
    <w:rsid w:val="00FA2BE6"/>
    <w:rsid w:val="00FA7B42"/>
    <w:rsid w:val="00FB7622"/>
    <w:rsid w:val="00FC0D06"/>
    <w:rsid w:val="00FC642A"/>
    <w:rsid w:val="00FD651D"/>
    <w:rsid w:val="00FE5BA5"/>
    <w:rsid w:val="00FF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779B8E85"/>
  <w15:docId w15:val="{C9EE66FE-B60F-4CC8-B5B6-DAEAD947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outlineLvl w:val="0"/>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ListBullet">
    <w:name w:val="List Bullet"/>
    <w:basedOn w:val="Normal"/>
    <w:autoRedefine/>
    <w:pPr>
      <w:numPr>
        <w:numId w:val="4"/>
      </w:numPr>
    </w:pPr>
  </w:style>
  <w:style w:type="paragraph" w:styleId="BodyText">
    <w:name w:val="Body Text"/>
    <w:basedOn w:val="Normal"/>
    <w:pPr>
      <w:tabs>
        <w:tab w:val="left" w:pos="3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Pr>
      <w:rFonts w:ascii="CG Times (W1)" w:hAnsi="CG Times (W1)"/>
      <w:color w:val="000000"/>
      <w:sz w:val="24"/>
    </w:rPr>
  </w:style>
  <w:style w:type="paragraph" w:styleId="BalloonText">
    <w:name w:val="Balloon Text"/>
    <w:basedOn w:val="Normal"/>
    <w:semiHidden/>
    <w:rsid w:val="002913D5"/>
    <w:rPr>
      <w:rFonts w:ascii="Tahoma" w:hAnsi="Tahoma" w:cs="Tahoma"/>
      <w:sz w:val="16"/>
      <w:szCs w:val="16"/>
    </w:rPr>
  </w:style>
  <w:style w:type="character" w:styleId="Hyperlink">
    <w:name w:val="Hyperlink"/>
    <w:uiPriority w:val="99"/>
    <w:rsid w:val="00832B15"/>
    <w:rPr>
      <w:color w:val="0000FF"/>
      <w:u w:val="single"/>
    </w:rPr>
  </w:style>
  <w:style w:type="paragraph" w:styleId="ListParagraph">
    <w:name w:val="List Paragraph"/>
    <w:basedOn w:val="Normal"/>
    <w:uiPriority w:val="34"/>
    <w:qFormat/>
    <w:rsid w:val="00097910"/>
    <w:pPr>
      <w:ind w:left="720"/>
      <w:contextualSpacing/>
    </w:pPr>
    <w:rPr>
      <w:sz w:val="24"/>
    </w:rPr>
  </w:style>
  <w:style w:type="character" w:styleId="UnresolvedMention">
    <w:name w:val="Unresolved Mention"/>
    <w:basedOn w:val="DefaultParagraphFont"/>
    <w:uiPriority w:val="99"/>
    <w:semiHidden/>
    <w:unhideWhenUsed/>
    <w:rsid w:val="00F42ACA"/>
    <w:rPr>
      <w:color w:val="605E5C"/>
      <w:shd w:val="clear" w:color="auto" w:fill="E1DFDD"/>
    </w:rPr>
  </w:style>
  <w:style w:type="character" w:styleId="FollowedHyperlink">
    <w:name w:val="FollowedHyperlink"/>
    <w:basedOn w:val="DefaultParagraphFont"/>
    <w:uiPriority w:val="99"/>
    <w:semiHidden/>
    <w:unhideWhenUsed/>
    <w:rsid w:val="000400C4"/>
    <w:rPr>
      <w:color w:val="800080" w:themeColor="followedHyperlink"/>
      <w:u w:val="single"/>
    </w:rPr>
  </w:style>
  <w:style w:type="character" w:styleId="CommentReference">
    <w:name w:val="annotation reference"/>
    <w:basedOn w:val="DefaultParagraphFont"/>
    <w:uiPriority w:val="99"/>
    <w:semiHidden/>
    <w:unhideWhenUsed/>
    <w:rsid w:val="002672BD"/>
    <w:rPr>
      <w:sz w:val="16"/>
      <w:szCs w:val="16"/>
    </w:rPr>
  </w:style>
  <w:style w:type="paragraph" w:styleId="CommentText">
    <w:name w:val="annotation text"/>
    <w:basedOn w:val="Normal"/>
    <w:link w:val="CommentTextChar"/>
    <w:uiPriority w:val="99"/>
    <w:semiHidden/>
    <w:unhideWhenUsed/>
    <w:rsid w:val="002672BD"/>
  </w:style>
  <w:style w:type="character" w:customStyle="1" w:styleId="CommentTextChar">
    <w:name w:val="Comment Text Char"/>
    <w:basedOn w:val="DefaultParagraphFont"/>
    <w:link w:val="CommentText"/>
    <w:uiPriority w:val="99"/>
    <w:semiHidden/>
    <w:rsid w:val="002672BD"/>
  </w:style>
  <w:style w:type="paragraph" w:styleId="CommentSubject">
    <w:name w:val="annotation subject"/>
    <w:basedOn w:val="CommentText"/>
    <w:next w:val="CommentText"/>
    <w:link w:val="CommentSubjectChar"/>
    <w:uiPriority w:val="99"/>
    <w:semiHidden/>
    <w:unhideWhenUsed/>
    <w:rsid w:val="002672BD"/>
    <w:rPr>
      <w:b/>
      <w:bCs/>
    </w:rPr>
  </w:style>
  <w:style w:type="character" w:customStyle="1" w:styleId="CommentSubjectChar">
    <w:name w:val="Comment Subject Char"/>
    <w:basedOn w:val="CommentTextChar"/>
    <w:link w:val="CommentSubject"/>
    <w:uiPriority w:val="99"/>
    <w:semiHidden/>
    <w:rsid w:val="002672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teContracts@lla.la.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la.state.la.us/ewsdataentry.ns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lla.la.gov/cpas/state-contracts/index.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la.la.gov/cpas/state-contracts/current-solicitati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8916-B546-4443-B906-7BD37AF8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4676</Words>
  <Characters>26617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December 17, 1997</vt:lpstr>
    </vt:vector>
  </TitlesOfParts>
  <Company>State of Louisiana</Company>
  <LinksUpToDate>false</LinksUpToDate>
  <CharactersWithSpaces>31231</CharactersWithSpaces>
  <SharedDoc>false</SharedDoc>
  <HLinks>
    <vt:vector size="12" baseType="variant">
      <vt:variant>
        <vt:i4>2490465</vt:i4>
      </vt:variant>
      <vt:variant>
        <vt:i4>3</vt:i4>
      </vt:variant>
      <vt:variant>
        <vt:i4>0</vt:i4>
      </vt:variant>
      <vt:variant>
        <vt:i4>5</vt:i4>
      </vt:variant>
      <vt:variant>
        <vt:lpwstr>http://app.lla.state.la.us/ewsdataentry.nsf</vt:lpwstr>
      </vt:variant>
      <vt:variant>
        <vt:lpwstr/>
      </vt:variant>
      <vt:variant>
        <vt:i4>7012353</vt:i4>
      </vt:variant>
      <vt:variant>
        <vt:i4>0</vt:i4>
      </vt:variant>
      <vt:variant>
        <vt:i4>0</vt:i4>
      </vt:variant>
      <vt:variant>
        <vt:i4>5</vt:i4>
      </vt:variant>
      <vt:variant>
        <vt:lpwstr>mailto:bewing@lla.la.gov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December 17, 1997</dc:title>
  <dc:creator>Legislative Auditor</dc:creator>
  <cp:lastModifiedBy>Keith Duke</cp:lastModifiedBy>
  <cp:revision>3</cp:revision>
  <cp:lastPrinted>2022-04-04T17:36:00Z</cp:lastPrinted>
  <dcterms:created xsi:type="dcterms:W3CDTF">2022-04-22T13:56:00Z</dcterms:created>
  <dcterms:modified xsi:type="dcterms:W3CDTF">2022-04-25T13:19:00Z</dcterms:modified>
</cp:coreProperties>
</file>